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41" w:rsidRDefault="00F37641" w:rsidP="00F376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>ADMITERE LA STUD</w:t>
      </w:r>
      <w:r w:rsidR="006314AF" w:rsidRPr="006314AF">
        <w:rPr>
          <w:rFonts w:ascii="Times New Roman" w:hAnsi="Times New Roman" w:cs="Times New Roman"/>
          <w:b/>
          <w:sz w:val="24"/>
          <w:szCs w:val="24"/>
          <w:lang w:val="ro-RO"/>
        </w:rPr>
        <w:t>I</w:t>
      </w: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>I SUPERIOARE DE DOCTORAT</w:t>
      </w:r>
      <w:r w:rsidR="006314AF">
        <w:rPr>
          <w:rFonts w:ascii="Times New Roman" w:hAnsi="Times New Roman" w:cs="Times New Roman"/>
          <w:b/>
          <w:sz w:val="24"/>
          <w:szCs w:val="24"/>
          <w:lang w:val="ro-RO"/>
        </w:rPr>
        <w:t>. Turul II</w:t>
      </w:r>
    </w:p>
    <w:p w:rsidR="006314AF" w:rsidRPr="006314AF" w:rsidRDefault="006314AF" w:rsidP="006314AF">
      <w:pPr>
        <w:ind w:firstLine="284"/>
        <w:jc w:val="both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>Universitatea Academiei de Științ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e a Moldovei  anunță turul II pentru admiterea</w:t>
      </w: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la studii superioare de doctorat, ciclul III</w:t>
      </w:r>
      <w:r w:rsidR="006B3906">
        <w:rPr>
          <w:rFonts w:ascii="Times New Roman" w:hAnsi="Times New Roman" w:cs="Times New Roman"/>
          <w:b/>
          <w:sz w:val="24"/>
          <w:szCs w:val="24"/>
          <w:lang w:val="ro-RO"/>
        </w:rPr>
        <w:t>, cu finanțare bugetară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. </w:t>
      </w: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Dosarele pentru concursul de admitere la studii superioare de doctorat se vor depune în perioada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9</w:t>
      </w: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13</w:t>
      </w: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>octombrie</w:t>
      </w: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 2017</w:t>
      </w:r>
      <w:r>
        <w:rPr>
          <w:rFonts w:ascii="Times New Roman" w:hAnsi="Times New Roman" w:cs="Times New Roman"/>
          <w:b/>
          <w:sz w:val="24"/>
          <w:szCs w:val="24"/>
          <w:lang w:val="ro-RO"/>
        </w:rPr>
        <w:t xml:space="preserve">, biroul 14 Secția Secţiei cercetare, doctorat </w:t>
      </w:r>
      <w:r w:rsidRPr="006314AF">
        <w:rPr>
          <w:rFonts w:ascii="Times New Roman" w:hAnsi="Times New Roman" w:cs="Times New Roman"/>
          <w:b/>
          <w:sz w:val="24"/>
          <w:szCs w:val="24"/>
          <w:lang w:val="ro-RO"/>
        </w:rPr>
        <w:t xml:space="preserve">şi managementul calității                                                                        </w:t>
      </w:r>
    </w:p>
    <w:p w:rsidR="001C5A94" w:rsidRDefault="001C5A94">
      <w:pPr>
        <w:rPr>
          <w:lang w:val="ro-RO"/>
        </w:rPr>
      </w:pPr>
    </w:p>
    <w:tbl>
      <w:tblPr>
        <w:tblW w:w="14883" w:type="dxa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3"/>
        <w:gridCol w:w="3524"/>
        <w:gridCol w:w="2434"/>
        <w:gridCol w:w="5832"/>
        <w:gridCol w:w="850"/>
        <w:gridCol w:w="709"/>
        <w:gridCol w:w="651"/>
      </w:tblGrid>
      <w:tr w:rsidR="00F37641" w:rsidRPr="00F37641" w:rsidTr="000D2245">
        <w:trPr>
          <w:trHeight w:val="150"/>
        </w:trPr>
        <w:tc>
          <w:tcPr>
            <w:tcW w:w="883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Nr. d/o</w:t>
            </w:r>
          </w:p>
        </w:tc>
        <w:tc>
          <w:tcPr>
            <w:tcW w:w="3524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Program de doctorat</w:t>
            </w:r>
          </w:p>
        </w:tc>
        <w:tc>
          <w:tcPr>
            <w:tcW w:w="2434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Nume, prenume conducător de doctorat</w:t>
            </w:r>
          </w:p>
        </w:tc>
        <w:tc>
          <w:tcPr>
            <w:tcW w:w="5832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Titlu proiect</w:t>
            </w:r>
          </w:p>
        </w:tc>
        <w:tc>
          <w:tcPr>
            <w:tcW w:w="850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Nr. de locuri</w:t>
            </w:r>
          </w:p>
        </w:tc>
        <w:tc>
          <w:tcPr>
            <w:tcW w:w="1360" w:type="dxa"/>
            <w:gridSpan w:val="2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Din ele</w:t>
            </w: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4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2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c/f</w:t>
            </w: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f/r</w:t>
            </w: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524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434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5832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50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F37641" w:rsidRPr="00F37641" w:rsidTr="00F37641">
        <w:trPr>
          <w:trHeight w:val="113"/>
        </w:trPr>
        <w:tc>
          <w:tcPr>
            <w:tcW w:w="14883" w:type="dxa"/>
            <w:gridSpan w:val="7"/>
          </w:tcPr>
          <w:p w:rsidR="00F37641" w:rsidRPr="00F37641" w:rsidRDefault="00F37641" w:rsidP="00F3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Şcoala doctorală  Științe Fizice</w:t>
            </w:r>
          </w:p>
        </w:tc>
      </w:tr>
      <w:tr w:rsidR="00F37641" w:rsidRPr="00F37641" w:rsidTr="00F37641">
        <w:trPr>
          <w:gridAfter w:val="5"/>
          <w:wAfter w:w="10476" w:type="dxa"/>
          <w:trHeight w:val="276"/>
        </w:trPr>
        <w:tc>
          <w:tcPr>
            <w:tcW w:w="883" w:type="dxa"/>
            <w:vMerge w:val="restart"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134.01.  Fizica și tehnologia materialelor</w:t>
            </w: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  <w:vMerge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  <w:tc>
          <w:tcPr>
            <w:tcW w:w="2434" w:type="dxa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 xml:space="preserve">Iovu Mihail, </w:t>
            </w:r>
          </w:p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dr. hab., prof. cerc.</w:t>
            </w:r>
          </w:p>
        </w:tc>
        <w:tc>
          <w:tcPr>
            <w:tcW w:w="5832" w:type="dxa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  <w:t>Fenomene optice și fotoelectrice în sistemele ternare calcogenice</w:t>
            </w:r>
          </w:p>
        </w:tc>
        <w:tc>
          <w:tcPr>
            <w:tcW w:w="850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641" w:rsidRPr="00F37641" w:rsidTr="000D2245">
        <w:trPr>
          <w:gridAfter w:val="5"/>
          <w:wAfter w:w="10476" w:type="dxa"/>
          <w:trHeight w:val="276"/>
        </w:trPr>
        <w:tc>
          <w:tcPr>
            <w:tcW w:w="883" w:type="dxa"/>
            <w:vMerge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F37641" w:rsidRPr="00F37641" w:rsidTr="000D2245">
        <w:trPr>
          <w:trHeight w:val="488"/>
        </w:trPr>
        <w:tc>
          <w:tcPr>
            <w:tcW w:w="14883" w:type="dxa"/>
            <w:gridSpan w:val="7"/>
          </w:tcPr>
          <w:p w:rsidR="00F37641" w:rsidRPr="00F37641" w:rsidRDefault="00F37641" w:rsidP="00F3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Şcoala doctorală    Științe Chimice și Tehnologice</w:t>
            </w:r>
          </w:p>
        </w:tc>
      </w:tr>
      <w:tr w:rsidR="00F37641" w:rsidRPr="00F37641" w:rsidTr="000D2245">
        <w:trPr>
          <w:gridAfter w:val="5"/>
          <w:wAfter w:w="10476" w:type="dxa"/>
          <w:trHeight w:val="276"/>
        </w:trPr>
        <w:tc>
          <w:tcPr>
            <w:tcW w:w="883" w:type="dxa"/>
            <w:vMerge w:val="restart"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  <w:t>141.01. Chimie anorganică</w:t>
            </w: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  <w:vMerge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 xml:space="preserve">Lozan Vasile, </w:t>
            </w:r>
          </w:p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dr., conf. cerc.</w:t>
            </w:r>
          </w:p>
        </w:tc>
        <w:tc>
          <w:tcPr>
            <w:tcW w:w="5832" w:type="dxa"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eastAsia="Arial Unicode MS" w:hAnsi="Times New Roman" w:cs="Times New Roman"/>
                <w:sz w:val="24"/>
                <w:szCs w:val="24"/>
                <w:lang w:eastAsia="ro-RO"/>
              </w:rPr>
              <w:t>Compuși coordinativi homo- și heterometalici ai unor metale 3d cu acizi piridindicarboxilici</w:t>
            </w:r>
          </w:p>
        </w:tc>
        <w:tc>
          <w:tcPr>
            <w:tcW w:w="850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641" w:rsidRPr="00F37641" w:rsidTr="000D2245">
        <w:trPr>
          <w:gridAfter w:val="5"/>
          <w:wAfter w:w="10476" w:type="dxa"/>
          <w:trHeight w:val="276"/>
        </w:trPr>
        <w:tc>
          <w:tcPr>
            <w:tcW w:w="883" w:type="dxa"/>
            <w:vMerge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o-RO"/>
              </w:rPr>
            </w:pP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  <w:vMerge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 xml:space="preserve">Macaev Fliur, </w:t>
            </w:r>
          </w:p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dr. hab., prof. cerc.</w:t>
            </w:r>
          </w:p>
        </w:tc>
        <w:tc>
          <w:tcPr>
            <w:tcW w:w="5832" w:type="dxa"/>
          </w:tcPr>
          <w:p w:rsidR="00F37641" w:rsidRPr="00F37641" w:rsidRDefault="00F37641" w:rsidP="000D2245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Sinteza derivaților monosubstituiți ai β-ciclodextrinei</w:t>
            </w:r>
          </w:p>
        </w:tc>
        <w:tc>
          <w:tcPr>
            <w:tcW w:w="850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143.04. Chimia bioorganică, chimia compușilor naturali și fiziologic activi</w:t>
            </w:r>
          </w:p>
        </w:tc>
        <w:tc>
          <w:tcPr>
            <w:tcW w:w="2434" w:type="dxa"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Arîcu Aculina,</w:t>
            </w:r>
          </w:p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 xml:space="preserve"> dr. hab., conf. cerc.</w:t>
            </w:r>
          </w:p>
        </w:tc>
        <w:tc>
          <w:tcPr>
            <w:tcW w:w="5832" w:type="dxa"/>
          </w:tcPr>
          <w:p w:rsidR="00F37641" w:rsidRPr="00F37641" w:rsidRDefault="00F37641" w:rsidP="000D224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  <w:lang w:eastAsia="ro-RO"/>
              </w:rPr>
              <w:t>Sinteza dirijată a derivaților biologic activi în bază de compuși di- și triterpenici accesibili</w:t>
            </w:r>
          </w:p>
        </w:tc>
        <w:tc>
          <w:tcPr>
            <w:tcW w:w="850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7641" w:rsidRPr="00F37641" w:rsidTr="000D2245">
        <w:trPr>
          <w:trHeight w:val="113"/>
        </w:trPr>
        <w:tc>
          <w:tcPr>
            <w:tcW w:w="14883" w:type="dxa"/>
            <w:gridSpan w:val="7"/>
          </w:tcPr>
          <w:p w:rsidR="00F37641" w:rsidRPr="00F37641" w:rsidRDefault="00F37641" w:rsidP="00F376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Şcoala doctorală    Științe Biologice</w:t>
            </w: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  <w:vMerge w:val="restart"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164.02 .  Fiziologie vegetală</w:t>
            </w:r>
          </w:p>
        </w:tc>
        <w:tc>
          <w:tcPr>
            <w:tcW w:w="2434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 xml:space="preserve">Bujoreanu Nicolae, </w:t>
            </w:r>
          </w:p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dr. hab., conf. cerc.</w:t>
            </w:r>
          </w:p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</w:p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832" w:type="dxa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Particularitățile inhibării proceselor de maturare a fructelor de prun prin aplicarea preparatului Fitomag</w:t>
            </w:r>
          </w:p>
        </w:tc>
        <w:tc>
          <w:tcPr>
            <w:tcW w:w="850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  <w:vMerge w:val="restart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  <w:vMerge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  <w:vMerge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2434" w:type="dxa"/>
            <w:vMerge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832" w:type="dxa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850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  <w:vMerge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41" w:rsidRPr="00F37641" w:rsidTr="000D2245">
        <w:trPr>
          <w:trHeight w:val="113"/>
        </w:trPr>
        <w:tc>
          <w:tcPr>
            <w:tcW w:w="883" w:type="dxa"/>
          </w:tcPr>
          <w:p w:rsidR="00F37641" w:rsidRPr="00F37641" w:rsidRDefault="00F37641" w:rsidP="000D224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24" w:type="dxa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162.01.  Genetică vegetală</w:t>
            </w:r>
          </w:p>
        </w:tc>
        <w:tc>
          <w:tcPr>
            <w:tcW w:w="2434" w:type="dxa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Lupașcu Galina,</w:t>
            </w:r>
          </w:p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dr. hab., prof. cerc.</w:t>
            </w:r>
          </w:p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</w:p>
        </w:tc>
        <w:tc>
          <w:tcPr>
            <w:tcW w:w="5832" w:type="dxa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</w:pP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 xml:space="preserve">Influența  condițiilor ambientale asupra sistemelor oligo- și poligene implicate în controlul rezistenței la maladii fungice și productivității  la </w:t>
            </w:r>
            <w:r w:rsidRPr="00F37641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o-RO"/>
              </w:rPr>
              <w:t xml:space="preserve">Triticum aestivum </w:t>
            </w:r>
            <w:r w:rsidRPr="00F37641">
              <w:rPr>
                <w:rFonts w:ascii="Times New Roman" w:eastAsiaTheme="minorEastAsia" w:hAnsi="Times New Roman" w:cs="Times New Roman"/>
                <w:sz w:val="24"/>
                <w:szCs w:val="24"/>
                <w:lang w:eastAsia="ro-RO"/>
              </w:rPr>
              <w:t>L.</w:t>
            </w:r>
          </w:p>
        </w:tc>
        <w:tc>
          <w:tcPr>
            <w:tcW w:w="850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37641" w:rsidRPr="00F37641" w:rsidTr="000D2245">
        <w:trPr>
          <w:trHeight w:val="113"/>
        </w:trPr>
        <w:tc>
          <w:tcPr>
            <w:tcW w:w="12673" w:type="dxa"/>
            <w:gridSpan w:val="4"/>
          </w:tcPr>
          <w:p w:rsidR="00F37641" w:rsidRPr="00F37641" w:rsidRDefault="00F37641" w:rsidP="000D224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3764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3764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Total:</w:t>
            </w:r>
          </w:p>
        </w:tc>
        <w:tc>
          <w:tcPr>
            <w:tcW w:w="850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51" w:type="dxa"/>
          </w:tcPr>
          <w:p w:rsidR="00F37641" w:rsidRPr="00F37641" w:rsidRDefault="00F37641" w:rsidP="000D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F37641" w:rsidRPr="00F37641" w:rsidRDefault="00F37641" w:rsidP="00F37641">
      <w:pPr>
        <w:ind w:right="283"/>
        <w:rPr>
          <w:lang w:val="ro-RO"/>
        </w:rPr>
      </w:pPr>
    </w:p>
    <w:sectPr w:rsidR="00F37641" w:rsidRPr="00F37641" w:rsidSect="00F3764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20E0"/>
    <w:multiLevelType w:val="hybridMultilevel"/>
    <w:tmpl w:val="10525AD6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172"/>
    <w:rsid w:val="001C5A94"/>
    <w:rsid w:val="003A0E52"/>
    <w:rsid w:val="006314AF"/>
    <w:rsid w:val="006B3906"/>
    <w:rsid w:val="00DB2172"/>
    <w:rsid w:val="00F3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861E"/>
  <w15:docId w15:val="{F02EE762-AA04-4A30-BC35-BCB09556D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M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7641"/>
    <w:pPr>
      <w:ind w:left="720"/>
      <w:contextualSpacing/>
    </w:pPr>
    <w:rPr>
      <w:rFonts w:ascii="Times New Roman" w:hAnsi="Times New Roman"/>
      <w:lang w:val="ro-RO"/>
    </w:rPr>
  </w:style>
  <w:style w:type="paragraph" w:styleId="NoSpacing">
    <w:name w:val="No Spacing"/>
    <w:link w:val="NoSpacingChar"/>
    <w:uiPriority w:val="1"/>
    <w:qFormat/>
    <w:rsid w:val="00F37641"/>
    <w:pPr>
      <w:spacing w:after="0" w:line="240" w:lineRule="auto"/>
    </w:pPr>
    <w:rPr>
      <w:rFonts w:eastAsiaTheme="minorEastAsia"/>
      <w:lang w:eastAsia="ro-RO"/>
    </w:rPr>
  </w:style>
  <w:style w:type="character" w:customStyle="1" w:styleId="hps">
    <w:name w:val="hps"/>
    <w:basedOn w:val="DefaultParagraphFont"/>
    <w:rsid w:val="00F37641"/>
  </w:style>
  <w:style w:type="character" w:customStyle="1" w:styleId="NoSpacingChar">
    <w:name w:val="No Spacing Char"/>
    <w:link w:val="NoSpacing"/>
    <w:uiPriority w:val="1"/>
    <w:rsid w:val="00F37641"/>
    <w:rPr>
      <w:rFonts w:eastAsiaTheme="minorEastAsia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270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Doctorat2</dc:creator>
  <cp:lastModifiedBy>Doctorat3</cp:lastModifiedBy>
  <cp:revision>3</cp:revision>
  <dcterms:created xsi:type="dcterms:W3CDTF">2017-10-06T13:24:00Z</dcterms:created>
  <dcterms:modified xsi:type="dcterms:W3CDTF">2017-10-11T05:49:00Z</dcterms:modified>
</cp:coreProperties>
</file>