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55"/>
      </w:tblGrid>
      <w:tr w:rsidR="00C44421" w:rsidRPr="00C44421" w:rsidTr="00C44421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421" w:rsidRPr="00C44421" w:rsidRDefault="00C44421" w:rsidP="00C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drawing>
                <wp:inline distT="0" distB="0" distL="0" distR="0">
                  <wp:extent cx="495300" cy="590550"/>
                  <wp:effectExtent l="0" t="0" r="0" b="0"/>
                  <wp:docPr id="1" name="Imagine 1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r w:rsidRPr="00C44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Republica Moldova</w:t>
            </w:r>
          </w:p>
        </w:tc>
      </w:tr>
      <w:tr w:rsidR="00C44421" w:rsidRPr="00C44421" w:rsidTr="00C44421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421" w:rsidRPr="00C44421" w:rsidRDefault="00C44421" w:rsidP="00C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4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GUVERNUL</w:t>
            </w:r>
          </w:p>
        </w:tc>
      </w:tr>
      <w:tr w:rsidR="00C44421" w:rsidRPr="00C44421" w:rsidTr="00C44421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421" w:rsidRPr="00C44421" w:rsidRDefault="00C44421" w:rsidP="00C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4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HOTĂRÎRE</w:t>
            </w:r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Nr. 169 </w:t>
            </w:r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din  12.03.2014</w:t>
            </w:r>
          </w:p>
        </w:tc>
      </w:tr>
      <w:tr w:rsidR="00C44421" w:rsidRPr="00C44421" w:rsidTr="00C44421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421" w:rsidRPr="00C44421" w:rsidRDefault="00C44421" w:rsidP="00C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C44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pentru modificarea anexelor nr.1 şi nr.2 </w:t>
            </w:r>
            <w:r w:rsidRPr="00C44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 xml:space="preserve">la </w:t>
            </w:r>
            <w:proofErr w:type="spellStart"/>
            <w:r w:rsidRPr="00C44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Hotărîrea</w:t>
            </w:r>
            <w:proofErr w:type="spellEnd"/>
            <w:r w:rsidRPr="00C44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Guvernului nr. 1009 din 1 septembrie 2006</w:t>
            </w:r>
          </w:p>
        </w:tc>
      </w:tr>
      <w:tr w:rsidR="00C44421" w:rsidRPr="00C44421" w:rsidTr="00C44421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421" w:rsidRPr="00C44421" w:rsidRDefault="00C44421" w:rsidP="00C4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Publicat : 14.03.2014 în Monitorul Oficial Nr. 60-65     </w:t>
            </w:r>
            <w:proofErr w:type="spellStart"/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art</w:t>
            </w:r>
            <w:proofErr w:type="spellEnd"/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Nr : 186</w:t>
            </w:r>
          </w:p>
        </w:tc>
      </w:tr>
      <w:tr w:rsidR="00C44421" w:rsidRPr="00C44421" w:rsidTr="00C44421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421" w:rsidRPr="00C44421" w:rsidRDefault="00C44421" w:rsidP="00C4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   Guvernul HOTĂRĂŞTE:</w:t>
            </w:r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 xml:space="preserve">    Anexele nr.1 şi nr.2 la </w:t>
            </w:r>
            <w:proofErr w:type="spellStart"/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Hotărîrea</w:t>
            </w:r>
            <w:proofErr w:type="spellEnd"/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Guvernului nr. 1009 din 1 septembrie 2006 „Cu privire la cuantumurile burselor, altor forme de ajutoare sociale pentru studenţii din instituţiile de </w:t>
            </w:r>
            <w:proofErr w:type="spellStart"/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învăţămînt</w:t>
            </w:r>
            <w:proofErr w:type="spellEnd"/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superior, elevii din instituţiile de </w:t>
            </w:r>
            <w:proofErr w:type="spellStart"/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învăţămînt</w:t>
            </w:r>
            <w:proofErr w:type="spellEnd"/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mediu de specialitate, secundar profesional şi persoanele care studiază în </w:t>
            </w:r>
            <w:proofErr w:type="spellStart"/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învăţămîntul</w:t>
            </w:r>
            <w:proofErr w:type="spellEnd"/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postuniversitar” (Monitorul Oficial al Republicii Moldova, 2006, nr. 142-145, art.1092), cu modificările şi completările ulterioare, vor avea următorul cuprins:</w:t>
            </w:r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 </w:t>
            </w:r>
            <w:hyperlink r:id="rId6" w:history="1">
              <w:r w:rsidRPr="00C444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anexa nr.1</w:t>
              </w:r>
            </w:hyperlink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 </w:t>
            </w:r>
            <w:hyperlink r:id="rId7" w:history="1">
              <w:r w:rsidRPr="00C444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anexa nr.2</w:t>
              </w:r>
            </w:hyperlink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r w:rsidRPr="00C4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</w:t>
            </w:r>
            <w:r w:rsidRPr="00C44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 PRIM-MINISTRU                                                              Iurie LEANCĂ</w:t>
            </w:r>
            <w:r w:rsidRPr="00C44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</w:r>
            <w:r w:rsidRPr="00C44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  <w:t>    Contrasemnează:</w:t>
            </w:r>
            <w:r w:rsidRPr="00C44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  <w:t>    Ministrul educaţiei                                                              Maia Sandu</w:t>
            </w:r>
            <w:r w:rsidRPr="00C44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  <w:t xml:space="preserve">    Ministrul finanţelor                                                             Anatol </w:t>
            </w:r>
            <w:proofErr w:type="spellStart"/>
            <w:r w:rsidRPr="00C44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Arapu</w:t>
            </w:r>
            <w:proofErr w:type="spellEnd"/>
            <w:r w:rsidRPr="00C44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</w:r>
            <w:r w:rsidRPr="00C44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  <w:t>    Nr. 169. Chişinău, 12 martie 2014.</w:t>
            </w:r>
          </w:p>
        </w:tc>
      </w:tr>
    </w:tbl>
    <w:p w:rsidR="00E06F35" w:rsidRDefault="00E06F35"/>
    <w:p w:rsidR="00C44421" w:rsidRDefault="00C44421"/>
    <w:p w:rsidR="00C44421" w:rsidRDefault="00C44421"/>
    <w:p w:rsidR="00C44421" w:rsidRDefault="00C44421"/>
    <w:p w:rsidR="00C44421" w:rsidRDefault="00C44421"/>
    <w:p w:rsidR="00C44421" w:rsidRDefault="00C44421"/>
    <w:p w:rsidR="00C44421" w:rsidRDefault="00C44421"/>
    <w:p w:rsidR="00C44421" w:rsidRPr="00B70829" w:rsidRDefault="00C44421" w:rsidP="00C44421">
      <w:pPr>
        <w:tabs>
          <w:tab w:val="left" w:pos="720"/>
        </w:tabs>
        <w:spacing w:after="0"/>
        <w:ind w:left="540"/>
        <w:jc w:val="right"/>
        <w:rPr>
          <w:rStyle w:val="docbody1"/>
          <w:szCs w:val="24"/>
        </w:rPr>
      </w:pPr>
      <w:r w:rsidRPr="00B70829">
        <w:rPr>
          <w:rStyle w:val="docbody1"/>
          <w:szCs w:val="24"/>
        </w:rPr>
        <w:lastRenderedPageBreak/>
        <w:t xml:space="preserve">„Anexa nr. 1 </w:t>
      </w:r>
    </w:p>
    <w:p w:rsidR="00C44421" w:rsidRPr="00B70829" w:rsidRDefault="00C44421" w:rsidP="00C44421">
      <w:pPr>
        <w:tabs>
          <w:tab w:val="left" w:pos="720"/>
        </w:tabs>
        <w:spacing w:after="0"/>
        <w:ind w:left="540"/>
        <w:jc w:val="right"/>
        <w:rPr>
          <w:rStyle w:val="docbody1"/>
          <w:szCs w:val="24"/>
        </w:rPr>
      </w:pPr>
      <w:bookmarkStart w:id="0" w:name="_GoBack"/>
      <w:bookmarkEnd w:id="0"/>
      <w:smartTag w:uri="urn:schemas-microsoft-com:office:smarttags" w:element="PersonName">
        <w:smartTagPr>
          <w:attr w:name="ProductID" w:val="la Hotărîrea Guvernului"/>
        </w:smartTagPr>
        <w:r w:rsidRPr="00B70829">
          <w:rPr>
            <w:rStyle w:val="docbody1"/>
            <w:szCs w:val="24"/>
          </w:rPr>
          <w:t xml:space="preserve">la </w:t>
        </w:r>
        <w:proofErr w:type="spellStart"/>
        <w:r w:rsidRPr="00B70829">
          <w:rPr>
            <w:rStyle w:val="docbody1"/>
            <w:szCs w:val="24"/>
          </w:rPr>
          <w:t>Hotărîrea</w:t>
        </w:r>
        <w:proofErr w:type="spellEnd"/>
        <w:r w:rsidRPr="00B70829">
          <w:rPr>
            <w:rStyle w:val="docbody1"/>
            <w:szCs w:val="24"/>
          </w:rPr>
          <w:t xml:space="preserve"> Guvernului</w:t>
        </w:r>
      </w:smartTag>
      <w:r w:rsidRPr="00B70829">
        <w:rPr>
          <w:rStyle w:val="docbody1"/>
          <w:szCs w:val="24"/>
        </w:rPr>
        <w:t xml:space="preserve"> </w:t>
      </w:r>
    </w:p>
    <w:p w:rsidR="00C44421" w:rsidRPr="00B70829" w:rsidRDefault="00C44421" w:rsidP="00C44421">
      <w:pPr>
        <w:tabs>
          <w:tab w:val="left" w:pos="720"/>
        </w:tabs>
        <w:spacing w:after="0"/>
        <w:ind w:left="540"/>
        <w:jc w:val="right"/>
        <w:rPr>
          <w:rStyle w:val="docbody1"/>
          <w:szCs w:val="24"/>
        </w:rPr>
      </w:pPr>
      <w:r w:rsidRPr="00B70829">
        <w:rPr>
          <w:rStyle w:val="docbody1"/>
          <w:szCs w:val="24"/>
        </w:rPr>
        <w:t>nr.1009 din 1septembrie 2006</w:t>
      </w:r>
    </w:p>
    <w:tbl>
      <w:tblPr>
        <w:tblpPr w:leftFromText="180" w:rightFromText="180" w:vertAnchor="text" w:horzAnchor="margin" w:tblpXSpec="center" w:tblpY="67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5760"/>
        <w:gridCol w:w="2880"/>
      </w:tblGrid>
      <w:tr w:rsidR="00C44421" w:rsidRPr="00B7047A" w:rsidTr="00C44421">
        <w:tc>
          <w:tcPr>
            <w:tcW w:w="1260" w:type="dxa"/>
          </w:tcPr>
          <w:p w:rsidR="00C44421" w:rsidRPr="00BC731A" w:rsidRDefault="00C44421" w:rsidP="00C44421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b/>
                <w:szCs w:val="24"/>
              </w:rPr>
            </w:pPr>
            <w:r w:rsidRPr="00BC731A">
              <w:rPr>
                <w:rStyle w:val="docbody1"/>
                <w:szCs w:val="24"/>
              </w:rPr>
              <w:t>Nr.</w:t>
            </w:r>
          </w:p>
          <w:p w:rsidR="00C44421" w:rsidRPr="00BC731A" w:rsidRDefault="00C44421" w:rsidP="00C44421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b/>
                <w:szCs w:val="24"/>
              </w:rPr>
            </w:pPr>
            <w:r w:rsidRPr="00BC731A">
              <w:rPr>
                <w:rStyle w:val="docbody1"/>
                <w:szCs w:val="24"/>
              </w:rPr>
              <w:t>d/o</w:t>
            </w:r>
          </w:p>
        </w:tc>
        <w:tc>
          <w:tcPr>
            <w:tcW w:w="576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center"/>
              <w:rPr>
                <w:rStyle w:val="docbody1"/>
                <w:b/>
                <w:szCs w:val="24"/>
              </w:rPr>
            </w:pPr>
            <w:r w:rsidRPr="00BC731A">
              <w:rPr>
                <w:rStyle w:val="docbody1"/>
                <w:szCs w:val="24"/>
              </w:rPr>
              <w:t>Categoria bursierilor</w:t>
            </w:r>
          </w:p>
        </w:tc>
        <w:tc>
          <w:tcPr>
            <w:tcW w:w="2880" w:type="dxa"/>
          </w:tcPr>
          <w:p w:rsidR="00C44421" w:rsidRPr="00BC731A" w:rsidRDefault="00C44421" w:rsidP="00C44421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b/>
                <w:szCs w:val="24"/>
              </w:rPr>
            </w:pPr>
            <w:r w:rsidRPr="00BC731A">
              <w:rPr>
                <w:rStyle w:val="docbody1"/>
                <w:szCs w:val="24"/>
              </w:rPr>
              <w:t xml:space="preserve">Cuantumul bursei lunare (lei), </w:t>
            </w:r>
            <w:proofErr w:type="spellStart"/>
            <w:r w:rsidRPr="00BC731A">
              <w:rPr>
                <w:rStyle w:val="docbody1"/>
                <w:szCs w:val="24"/>
              </w:rPr>
              <w:t>începînd</w:t>
            </w:r>
            <w:proofErr w:type="spellEnd"/>
            <w:r w:rsidRPr="00BC731A">
              <w:rPr>
                <w:rStyle w:val="docbody1"/>
                <w:szCs w:val="24"/>
              </w:rPr>
              <w:t xml:space="preserve"> cu </w:t>
            </w:r>
            <w:r w:rsidRPr="00BC731A">
              <w:rPr>
                <w:rStyle w:val="docbody1"/>
                <w:szCs w:val="24"/>
              </w:rPr>
              <w:br/>
              <w:t>1 ianuarie 2014</w:t>
            </w:r>
          </w:p>
        </w:tc>
      </w:tr>
      <w:tr w:rsidR="00C44421" w:rsidRPr="00BC731A" w:rsidTr="00C44421">
        <w:tc>
          <w:tcPr>
            <w:tcW w:w="126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center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>1.</w:t>
            </w:r>
          </w:p>
        </w:tc>
        <w:tc>
          <w:tcPr>
            <w:tcW w:w="576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both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>Doctoranzii din anul I de studii, înscrişi imediat după absolvirea facultăţii, şi cei cu vechimea în muncă mai mică de trei ani</w:t>
            </w:r>
          </w:p>
        </w:tc>
        <w:tc>
          <w:tcPr>
            <w:tcW w:w="288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center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>1000</w:t>
            </w:r>
          </w:p>
        </w:tc>
      </w:tr>
      <w:tr w:rsidR="00C44421" w:rsidRPr="00BC731A" w:rsidTr="00C44421">
        <w:tc>
          <w:tcPr>
            <w:tcW w:w="126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center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>2.</w:t>
            </w:r>
          </w:p>
        </w:tc>
        <w:tc>
          <w:tcPr>
            <w:tcW w:w="576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both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>Doctoranzii din anul II de studii, înscrişi imediat după absolvirea facultăţii, şi cei cu vechimea în muncă mai mică de trei ani</w:t>
            </w:r>
          </w:p>
        </w:tc>
        <w:tc>
          <w:tcPr>
            <w:tcW w:w="288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center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>1110</w:t>
            </w:r>
          </w:p>
        </w:tc>
      </w:tr>
      <w:tr w:rsidR="00C44421" w:rsidRPr="00BC731A" w:rsidTr="00C44421">
        <w:tc>
          <w:tcPr>
            <w:tcW w:w="126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center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>3.</w:t>
            </w:r>
          </w:p>
        </w:tc>
        <w:tc>
          <w:tcPr>
            <w:tcW w:w="576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both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 xml:space="preserve">Doctoranzii din anul III de studii, nominalizaţi la poziţia </w:t>
            </w:r>
            <w:proofErr w:type="spellStart"/>
            <w:r w:rsidRPr="00BC731A">
              <w:rPr>
                <w:rStyle w:val="docbody1"/>
                <w:szCs w:val="24"/>
              </w:rPr>
              <w:t>întîi</w:t>
            </w:r>
            <w:proofErr w:type="spellEnd"/>
            <w:r w:rsidRPr="00BC731A">
              <w:rPr>
                <w:rStyle w:val="docbody1"/>
                <w:szCs w:val="24"/>
              </w:rPr>
              <w:t xml:space="preserve"> a prezentului tabel, persoanele care </w:t>
            </w:r>
            <w:proofErr w:type="spellStart"/>
            <w:r w:rsidRPr="00BC731A">
              <w:rPr>
                <w:rStyle w:val="docbody1"/>
                <w:szCs w:val="24"/>
              </w:rPr>
              <w:t>pînă</w:t>
            </w:r>
            <w:proofErr w:type="spellEnd"/>
            <w:r w:rsidRPr="00BC731A">
              <w:rPr>
                <w:rStyle w:val="docbody1"/>
                <w:szCs w:val="24"/>
              </w:rPr>
              <w:t xml:space="preserve"> la înscrierea la doctorat aveau o vechime în muncă de cel puţin trei ani – pentru toţi anii de studii</w:t>
            </w:r>
          </w:p>
        </w:tc>
        <w:tc>
          <w:tcPr>
            <w:tcW w:w="288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center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>1150</w:t>
            </w:r>
          </w:p>
        </w:tc>
      </w:tr>
      <w:tr w:rsidR="00C44421" w:rsidRPr="00B7047A" w:rsidTr="00C44421">
        <w:tc>
          <w:tcPr>
            <w:tcW w:w="126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center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>4.</w:t>
            </w:r>
          </w:p>
        </w:tc>
        <w:tc>
          <w:tcPr>
            <w:tcW w:w="576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both"/>
              <w:rPr>
                <w:rStyle w:val="docbody1"/>
                <w:szCs w:val="24"/>
              </w:rPr>
            </w:pPr>
            <w:proofErr w:type="spellStart"/>
            <w:r w:rsidRPr="00BC731A">
              <w:rPr>
                <w:rStyle w:val="docbody1"/>
                <w:szCs w:val="24"/>
              </w:rPr>
              <w:t>Postdoctoranzii</w:t>
            </w:r>
            <w:proofErr w:type="spellEnd"/>
            <w:r w:rsidRPr="00BC731A">
              <w:rPr>
                <w:rStyle w:val="docbody1"/>
                <w:szCs w:val="24"/>
              </w:rPr>
              <w:t xml:space="preserve"> care lucrează asupra tezei de doctor </w:t>
            </w:r>
            <w:proofErr w:type="spellStart"/>
            <w:r w:rsidRPr="00BC731A">
              <w:rPr>
                <w:rStyle w:val="docbody1"/>
                <w:szCs w:val="24"/>
              </w:rPr>
              <w:t>habilitat</w:t>
            </w:r>
            <w:proofErr w:type="spellEnd"/>
          </w:p>
        </w:tc>
        <w:tc>
          <w:tcPr>
            <w:tcW w:w="288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center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 xml:space="preserve">În mărimea unui salariu mediu primit </w:t>
            </w:r>
            <w:proofErr w:type="spellStart"/>
            <w:r w:rsidRPr="00BC731A">
              <w:rPr>
                <w:rStyle w:val="docbody1"/>
                <w:szCs w:val="24"/>
              </w:rPr>
              <w:t>pînă</w:t>
            </w:r>
            <w:proofErr w:type="spellEnd"/>
            <w:r w:rsidRPr="00BC731A">
              <w:rPr>
                <w:rStyle w:val="docbody1"/>
                <w:szCs w:val="24"/>
              </w:rPr>
              <w:t xml:space="preserve"> la înscrierea la </w:t>
            </w:r>
            <w:proofErr w:type="spellStart"/>
            <w:r w:rsidRPr="00BC731A">
              <w:rPr>
                <w:rStyle w:val="docbody1"/>
                <w:szCs w:val="24"/>
              </w:rPr>
              <w:t>postdoctorat</w:t>
            </w:r>
            <w:proofErr w:type="spellEnd"/>
          </w:p>
        </w:tc>
      </w:tr>
      <w:tr w:rsidR="00C44421" w:rsidRPr="00BC731A" w:rsidTr="00C44421">
        <w:tc>
          <w:tcPr>
            <w:tcW w:w="126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center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>5.</w:t>
            </w:r>
          </w:p>
        </w:tc>
        <w:tc>
          <w:tcPr>
            <w:tcW w:w="576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both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>Medicii rezidenţi din anul I de studii</w:t>
            </w:r>
          </w:p>
        </w:tc>
        <w:tc>
          <w:tcPr>
            <w:tcW w:w="288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center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>1000</w:t>
            </w:r>
          </w:p>
        </w:tc>
      </w:tr>
      <w:tr w:rsidR="00C44421" w:rsidRPr="00BC731A" w:rsidTr="00C44421">
        <w:tc>
          <w:tcPr>
            <w:tcW w:w="126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center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>6.</w:t>
            </w:r>
          </w:p>
        </w:tc>
        <w:tc>
          <w:tcPr>
            <w:tcW w:w="576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both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>Medicii rezidenţi din anul al II-lea şi al III-lea de studii</w:t>
            </w:r>
          </w:p>
        </w:tc>
        <w:tc>
          <w:tcPr>
            <w:tcW w:w="288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center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>1110</w:t>
            </w:r>
          </w:p>
        </w:tc>
      </w:tr>
      <w:tr w:rsidR="00C44421" w:rsidRPr="00BC731A" w:rsidTr="00C44421">
        <w:trPr>
          <w:trHeight w:val="261"/>
        </w:trPr>
        <w:tc>
          <w:tcPr>
            <w:tcW w:w="126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center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>7.</w:t>
            </w:r>
          </w:p>
        </w:tc>
        <w:tc>
          <w:tcPr>
            <w:tcW w:w="576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both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>Medicii rezidenţi din anul al IV-lea şi al V-lea de studii, medicii secundari clinici înscrişi la secundariat imediat după absolvirea facultăţii</w:t>
            </w:r>
          </w:p>
        </w:tc>
        <w:tc>
          <w:tcPr>
            <w:tcW w:w="288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center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>1150</w:t>
            </w:r>
          </w:p>
        </w:tc>
      </w:tr>
      <w:tr w:rsidR="00C44421" w:rsidRPr="00B7047A" w:rsidTr="00C44421">
        <w:tc>
          <w:tcPr>
            <w:tcW w:w="126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center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>8.</w:t>
            </w:r>
          </w:p>
        </w:tc>
        <w:tc>
          <w:tcPr>
            <w:tcW w:w="576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both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>Medicii secundari clinici înmatriculaţi în secundariatul clinic cu vechime în muncă de medic</w:t>
            </w:r>
          </w:p>
        </w:tc>
        <w:tc>
          <w:tcPr>
            <w:tcW w:w="2880" w:type="dxa"/>
          </w:tcPr>
          <w:p w:rsidR="00C44421" w:rsidRPr="00BC731A" w:rsidRDefault="00C44421" w:rsidP="00C44421">
            <w:pPr>
              <w:tabs>
                <w:tab w:val="left" w:pos="720"/>
                <w:tab w:val="left" w:pos="3870"/>
              </w:tabs>
              <w:spacing w:after="0" w:line="240" w:lineRule="auto"/>
              <w:jc w:val="center"/>
              <w:rPr>
                <w:rStyle w:val="docbody1"/>
                <w:szCs w:val="24"/>
              </w:rPr>
            </w:pPr>
            <w:r w:rsidRPr="00BC731A">
              <w:rPr>
                <w:rStyle w:val="docbody1"/>
                <w:szCs w:val="24"/>
              </w:rPr>
              <w:t>În mărimea salariului de funcţie calculat conform notei</w:t>
            </w:r>
          </w:p>
        </w:tc>
      </w:tr>
    </w:tbl>
    <w:p w:rsidR="00C44421" w:rsidRPr="00C44421" w:rsidRDefault="00C44421" w:rsidP="00C44421">
      <w:pPr>
        <w:tabs>
          <w:tab w:val="left" w:pos="720"/>
          <w:tab w:val="left" w:pos="3870"/>
        </w:tabs>
        <w:spacing w:after="0" w:line="240" w:lineRule="auto"/>
        <w:jc w:val="center"/>
        <w:rPr>
          <w:rStyle w:val="docbody1"/>
          <w:b/>
          <w:szCs w:val="24"/>
        </w:rPr>
      </w:pPr>
      <w:r w:rsidRPr="00C44421">
        <w:rPr>
          <w:rStyle w:val="docbody1"/>
          <w:b/>
          <w:szCs w:val="24"/>
        </w:rPr>
        <w:t xml:space="preserve">Bursele de studii acordate persoanelor care studiază în </w:t>
      </w:r>
      <w:proofErr w:type="spellStart"/>
      <w:r w:rsidRPr="00C44421">
        <w:rPr>
          <w:rStyle w:val="docbody1"/>
          <w:b/>
          <w:szCs w:val="24"/>
        </w:rPr>
        <w:t>învăţămîntul</w:t>
      </w:r>
      <w:proofErr w:type="spellEnd"/>
      <w:r w:rsidRPr="00C44421">
        <w:rPr>
          <w:rStyle w:val="docbody1"/>
          <w:b/>
          <w:szCs w:val="24"/>
        </w:rPr>
        <w:t xml:space="preserve"> postuniversitar: doctoranzi, </w:t>
      </w:r>
      <w:proofErr w:type="spellStart"/>
      <w:r w:rsidRPr="00C44421">
        <w:rPr>
          <w:rStyle w:val="docbody1"/>
          <w:b/>
          <w:szCs w:val="24"/>
        </w:rPr>
        <w:t>postdoctoranzi</w:t>
      </w:r>
      <w:proofErr w:type="spellEnd"/>
      <w:r w:rsidRPr="00C44421">
        <w:rPr>
          <w:rStyle w:val="docbody1"/>
          <w:b/>
          <w:szCs w:val="24"/>
        </w:rPr>
        <w:t>, medici rezidenţi, medici secundari clinici</w:t>
      </w:r>
    </w:p>
    <w:p w:rsidR="00C44421" w:rsidRPr="00B70829" w:rsidRDefault="00C44421" w:rsidP="00C44421">
      <w:pPr>
        <w:tabs>
          <w:tab w:val="left" w:pos="720"/>
          <w:tab w:val="left" w:pos="3870"/>
        </w:tabs>
        <w:spacing w:after="0" w:line="240" w:lineRule="auto"/>
        <w:jc w:val="center"/>
        <w:rPr>
          <w:rStyle w:val="docbody1"/>
          <w:b/>
          <w:szCs w:val="24"/>
        </w:rPr>
      </w:pPr>
    </w:p>
    <w:p w:rsidR="00C44421" w:rsidRDefault="00C44421" w:rsidP="00C44421">
      <w:pPr>
        <w:ind w:left="-1134"/>
      </w:pPr>
    </w:p>
    <w:sectPr w:rsidR="00C4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21"/>
    <w:rsid w:val="00C44421"/>
    <w:rsid w:val="00E0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C44421"/>
    <w:rPr>
      <w:b/>
      <w:bCs/>
    </w:rPr>
  </w:style>
  <w:style w:type="character" w:customStyle="1" w:styleId="apple-converted-space">
    <w:name w:val="apple-converted-space"/>
    <w:basedOn w:val="Fontdeparagrafimplicit"/>
    <w:rsid w:val="00C44421"/>
  </w:style>
  <w:style w:type="character" w:customStyle="1" w:styleId="docheader">
    <w:name w:val="doc_header"/>
    <w:basedOn w:val="Fontdeparagrafimplicit"/>
    <w:rsid w:val="00C44421"/>
  </w:style>
  <w:style w:type="character" w:styleId="Hyperlink">
    <w:name w:val="Hyperlink"/>
    <w:basedOn w:val="Fontdeparagrafimplicit"/>
    <w:uiPriority w:val="99"/>
    <w:semiHidden/>
    <w:unhideWhenUsed/>
    <w:rsid w:val="00C44421"/>
    <w:rPr>
      <w:color w:val="0000FF"/>
      <w:u w:val="single"/>
    </w:rPr>
  </w:style>
  <w:style w:type="character" w:customStyle="1" w:styleId="docsign1">
    <w:name w:val="doc_sign1"/>
    <w:basedOn w:val="Fontdeparagrafimplicit"/>
    <w:rsid w:val="00C44421"/>
  </w:style>
  <w:style w:type="paragraph" w:styleId="TextnBalon">
    <w:name w:val="Balloon Text"/>
    <w:basedOn w:val="Normal"/>
    <w:link w:val="TextnBalonCaracter"/>
    <w:uiPriority w:val="99"/>
    <w:semiHidden/>
    <w:unhideWhenUsed/>
    <w:rsid w:val="00C4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4421"/>
    <w:rPr>
      <w:rFonts w:ascii="Tahoma" w:hAnsi="Tahoma" w:cs="Tahoma"/>
      <w:sz w:val="16"/>
      <w:szCs w:val="16"/>
    </w:rPr>
  </w:style>
  <w:style w:type="character" w:customStyle="1" w:styleId="docbody1">
    <w:name w:val="doc_body1"/>
    <w:uiPriority w:val="99"/>
    <w:rsid w:val="00C44421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C44421"/>
    <w:rPr>
      <w:b/>
      <w:bCs/>
    </w:rPr>
  </w:style>
  <w:style w:type="character" w:customStyle="1" w:styleId="apple-converted-space">
    <w:name w:val="apple-converted-space"/>
    <w:basedOn w:val="Fontdeparagrafimplicit"/>
    <w:rsid w:val="00C44421"/>
  </w:style>
  <w:style w:type="character" w:customStyle="1" w:styleId="docheader">
    <w:name w:val="doc_header"/>
    <w:basedOn w:val="Fontdeparagrafimplicit"/>
    <w:rsid w:val="00C44421"/>
  </w:style>
  <w:style w:type="character" w:styleId="Hyperlink">
    <w:name w:val="Hyperlink"/>
    <w:basedOn w:val="Fontdeparagrafimplicit"/>
    <w:uiPriority w:val="99"/>
    <w:semiHidden/>
    <w:unhideWhenUsed/>
    <w:rsid w:val="00C44421"/>
    <w:rPr>
      <w:color w:val="0000FF"/>
      <w:u w:val="single"/>
    </w:rPr>
  </w:style>
  <w:style w:type="character" w:customStyle="1" w:styleId="docsign1">
    <w:name w:val="doc_sign1"/>
    <w:basedOn w:val="Fontdeparagrafimplicit"/>
    <w:rsid w:val="00C44421"/>
  </w:style>
  <w:style w:type="paragraph" w:styleId="TextnBalon">
    <w:name w:val="Balloon Text"/>
    <w:basedOn w:val="Normal"/>
    <w:link w:val="TextnBalonCaracter"/>
    <w:uiPriority w:val="99"/>
    <w:semiHidden/>
    <w:unhideWhenUsed/>
    <w:rsid w:val="00C4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4421"/>
    <w:rPr>
      <w:rFonts w:ascii="Tahoma" w:hAnsi="Tahoma" w:cs="Tahoma"/>
      <w:sz w:val="16"/>
      <w:szCs w:val="16"/>
    </w:rPr>
  </w:style>
  <w:style w:type="character" w:customStyle="1" w:styleId="docbody1">
    <w:name w:val="doc_body1"/>
    <w:uiPriority w:val="99"/>
    <w:rsid w:val="00C4442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.justice.md/UserFiles/File/2014/mo60-65md/an.2_169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x.justice.md/UserFiles/File/2014/mo60-65md/an.1_16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1</cp:revision>
  <dcterms:created xsi:type="dcterms:W3CDTF">2015-03-26T08:52:00Z</dcterms:created>
  <dcterms:modified xsi:type="dcterms:W3CDTF">2015-03-26T08:55:00Z</dcterms:modified>
</cp:coreProperties>
</file>