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CD" w:rsidRPr="00B22E00" w:rsidRDefault="00D427CD" w:rsidP="00AB7CF6">
      <w:pPr>
        <w:spacing w:after="0" w:line="240" w:lineRule="auto"/>
        <w:jc w:val="center"/>
        <w:rPr>
          <w:rFonts w:ascii="Times New Roman" w:eastAsia="Times New Roman" w:hAnsi="Times New Roman" w:cs="Times New Roman"/>
          <w:b/>
        </w:rPr>
      </w:pPr>
      <w:bookmarkStart w:id="0" w:name="_GoBack"/>
      <w:bookmarkEnd w:id="0"/>
      <w:r w:rsidRPr="00B22E00">
        <w:rPr>
          <w:rFonts w:ascii="Times New Roman" w:eastAsia="SimSun" w:hAnsi="Times New Roman" w:cs="Times New Roman"/>
          <w:b/>
          <w:bCs/>
          <w:kern w:val="2"/>
          <w:lang w:eastAsia="zh-CN" w:bidi="hi-IN"/>
        </w:rPr>
        <w:t>FI</w:t>
      </w:r>
      <w:r w:rsidR="00331EB0" w:rsidRPr="00B22E00">
        <w:rPr>
          <w:rFonts w:ascii="Times New Roman" w:eastAsia="SimSun" w:hAnsi="Times New Roman" w:cs="Times New Roman"/>
          <w:b/>
          <w:bCs/>
          <w:kern w:val="2"/>
          <w:lang w:eastAsia="zh-CN" w:bidi="hi-IN"/>
        </w:rPr>
        <w:t>Ș</w:t>
      </w:r>
      <w:r w:rsidRPr="00B22E00">
        <w:rPr>
          <w:rFonts w:ascii="Times New Roman" w:eastAsia="SimSun" w:hAnsi="Times New Roman" w:cs="Times New Roman"/>
          <w:b/>
          <w:bCs/>
          <w:kern w:val="2"/>
          <w:lang w:eastAsia="zh-CN" w:bidi="hi-IN"/>
        </w:rPr>
        <w:t xml:space="preserve">A DISCIPLINEI </w:t>
      </w:r>
    </w:p>
    <w:tbl>
      <w:tblPr>
        <w:tblW w:w="10146" w:type="dxa"/>
        <w:jc w:val="center"/>
        <w:tblLayout w:type="fixed"/>
        <w:tblCellMar>
          <w:top w:w="55" w:type="dxa"/>
          <w:left w:w="55" w:type="dxa"/>
          <w:bottom w:w="55" w:type="dxa"/>
          <w:right w:w="55" w:type="dxa"/>
        </w:tblCellMar>
        <w:tblLook w:val="04A0" w:firstRow="1" w:lastRow="0" w:firstColumn="1" w:lastColumn="0" w:noHBand="0" w:noVBand="1"/>
      </w:tblPr>
      <w:tblGrid>
        <w:gridCol w:w="1135"/>
        <w:gridCol w:w="1250"/>
        <w:gridCol w:w="1443"/>
        <w:gridCol w:w="1125"/>
        <w:gridCol w:w="336"/>
        <w:gridCol w:w="1209"/>
        <w:gridCol w:w="1158"/>
        <w:gridCol w:w="1275"/>
        <w:gridCol w:w="1215"/>
      </w:tblGrid>
      <w:tr w:rsidR="00D427CD" w:rsidRPr="00B22E00" w:rsidTr="00D21E21">
        <w:trPr>
          <w:trHeight w:val="577"/>
          <w:jc w:val="center"/>
        </w:trPr>
        <w:tc>
          <w:tcPr>
            <w:tcW w:w="5289" w:type="dxa"/>
            <w:gridSpan w:val="5"/>
            <w:tcBorders>
              <w:top w:val="single" w:sz="2" w:space="0" w:color="000000"/>
              <w:left w:val="single" w:sz="2" w:space="0" w:color="000000"/>
              <w:bottom w:val="single" w:sz="2" w:space="0" w:color="000000"/>
              <w:right w:val="single" w:sz="4" w:space="0" w:color="auto"/>
            </w:tcBorders>
            <w:hideMark/>
          </w:tcPr>
          <w:p w:rsidR="00E6658D" w:rsidRPr="00B22E00" w:rsidRDefault="00E6658D" w:rsidP="00E6658D">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Univer</w:t>
            </w:r>
            <w:r w:rsidR="00DC6A2B" w:rsidRPr="00B22E00">
              <w:rPr>
                <w:rFonts w:ascii="Times New Roman" w:eastAsia="SimSun" w:hAnsi="Times New Roman" w:cs="Times New Roman"/>
                <w:b/>
                <w:bCs/>
                <w:kern w:val="2"/>
                <w:lang w:eastAsia="zh-CN" w:bidi="hi-IN"/>
              </w:rPr>
              <w:t xml:space="preserve">sitatea Academiei de Științe a </w:t>
            </w:r>
            <w:r w:rsidRPr="00B22E00">
              <w:rPr>
                <w:rFonts w:ascii="Times New Roman" w:eastAsia="SimSun" w:hAnsi="Times New Roman" w:cs="Times New Roman"/>
                <w:b/>
                <w:bCs/>
                <w:kern w:val="2"/>
                <w:lang w:eastAsia="zh-CN" w:bidi="hi-IN"/>
              </w:rPr>
              <w:t>Moldovei</w:t>
            </w:r>
          </w:p>
          <w:p w:rsidR="00D427CD" w:rsidRPr="00B22E00" w:rsidRDefault="00E6658D" w:rsidP="00E6658D">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Facultatea Științe Socioumanistice</w:t>
            </w:r>
          </w:p>
        </w:tc>
        <w:tc>
          <w:tcPr>
            <w:tcW w:w="4857" w:type="dxa"/>
            <w:gridSpan w:val="4"/>
            <w:tcBorders>
              <w:top w:val="single" w:sz="2" w:space="0" w:color="000000"/>
              <w:left w:val="single" w:sz="4" w:space="0" w:color="auto"/>
              <w:bottom w:val="single" w:sz="2" w:space="0" w:color="000000"/>
              <w:right w:val="single" w:sz="2" w:space="0" w:color="000000"/>
            </w:tcBorders>
          </w:tcPr>
          <w:p w:rsidR="00D427CD" w:rsidRPr="00B22E00" w:rsidRDefault="00D427CD" w:rsidP="00E6658D">
            <w:pPr>
              <w:widowControl w:val="0"/>
              <w:suppressLineNumbers/>
              <w:suppressAutoHyphens/>
              <w:spacing w:after="0" w:line="240" w:lineRule="auto"/>
              <w:rPr>
                <w:rFonts w:ascii="Times New Roman" w:eastAsia="Times New Roman" w:hAnsi="Times New Roman" w:cs="Times New Roman"/>
              </w:rPr>
            </w:pPr>
            <w:r w:rsidRPr="00B22E00">
              <w:rPr>
                <w:rFonts w:ascii="Times New Roman" w:eastAsia="Times New Roman" w:hAnsi="Times New Roman" w:cs="Times New Roman"/>
                <w:b/>
                <w:bCs/>
              </w:rPr>
              <w:t xml:space="preserve">Denumirea cursului: </w:t>
            </w:r>
            <w:r w:rsidRPr="00B22E00">
              <w:rPr>
                <w:rFonts w:ascii="Times New Roman" w:eastAsia="Times New Roman" w:hAnsi="Times New Roman" w:cs="Times New Roman"/>
              </w:rPr>
              <w:t xml:space="preserve">Literatura universală </w:t>
            </w:r>
            <w:r w:rsidR="00331EB0" w:rsidRPr="00B22E00">
              <w:rPr>
                <w:rFonts w:ascii="Times New Roman" w:eastAsia="Times New Roman" w:hAnsi="Times New Roman" w:cs="Times New Roman"/>
              </w:rPr>
              <w:t>ș</w:t>
            </w:r>
            <w:r w:rsidRPr="00B22E00">
              <w:rPr>
                <w:rFonts w:ascii="Times New Roman" w:eastAsia="Times New Roman" w:hAnsi="Times New Roman" w:cs="Times New Roman"/>
              </w:rPr>
              <w:t>i comparată</w:t>
            </w:r>
            <w:r w:rsidR="00CC5800">
              <w:rPr>
                <w:rFonts w:ascii="Times New Roman" w:eastAsia="Times New Roman" w:hAnsi="Times New Roman" w:cs="Times New Roman"/>
              </w:rPr>
              <w:t xml:space="preserve"> </w:t>
            </w:r>
            <w:r w:rsidR="00CC7817" w:rsidRPr="00B22E00">
              <w:rPr>
                <w:rFonts w:ascii="Times New Roman" w:eastAsia="Times New Roman" w:hAnsi="Times New Roman" w:cs="Times New Roman"/>
              </w:rPr>
              <w:t>II</w:t>
            </w:r>
          </w:p>
          <w:p w:rsidR="00D427CD" w:rsidRPr="00B22E00" w:rsidRDefault="00D427CD" w:rsidP="008B5A7C">
            <w:pPr>
              <w:widowControl w:val="0"/>
              <w:suppressLineNumbers/>
              <w:suppressAutoHyphens/>
              <w:spacing w:after="0" w:line="240" w:lineRule="auto"/>
              <w:jc w:val="both"/>
              <w:rPr>
                <w:rFonts w:ascii="Times New Roman" w:eastAsia="SimSun" w:hAnsi="Times New Roman" w:cs="Times New Roman"/>
                <w:b/>
                <w:bCs/>
                <w:kern w:val="2"/>
                <w:lang w:val="fr-FR" w:eastAsia="zh-CN" w:bidi="hi-IN"/>
              </w:rPr>
            </w:pPr>
            <w:r w:rsidRPr="00B22E00">
              <w:rPr>
                <w:rFonts w:ascii="Times New Roman" w:eastAsia="SimSun" w:hAnsi="Times New Roman" w:cs="Times New Roman"/>
                <w:b/>
                <w:bCs/>
                <w:kern w:val="2"/>
                <w:lang w:eastAsia="zh-CN" w:bidi="hi-IN"/>
              </w:rPr>
              <w:t xml:space="preserve">Codul cursului în planul de studii:  </w:t>
            </w:r>
            <w:r w:rsidR="008B5A7C">
              <w:rPr>
                <w:rFonts w:ascii="Times New Roman" w:eastAsia="SimSun" w:hAnsi="Times New Roman" w:cs="Times New Roman"/>
                <w:bCs/>
                <w:kern w:val="2"/>
                <w:lang w:eastAsia="zh-CN" w:bidi="hi-IN"/>
              </w:rPr>
              <w:t>S</w:t>
            </w:r>
            <w:r w:rsidR="00806A7D" w:rsidRPr="00B22E00">
              <w:rPr>
                <w:rFonts w:ascii="Times New Roman" w:hAnsi="Times New Roman" w:cs="Times New Roman"/>
              </w:rPr>
              <w:t>.0</w:t>
            </w:r>
            <w:r w:rsidR="00E5347C" w:rsidRPr="00B22E00">
              <w:rPr>
                <w:rFonts w:ascii="Times New Roman" w:hAnsi="Times New Roman" w:cs="Times New Roman"/>
              </w:rPr>
              <w:t>3</w:t>
            </w:r>
            <w:r w:rsidR="00DB38CB" w:rsidRPr="00B22E00">
              <w:rPr>
                <w:rFonts w:ascii="Times New Roman" w:hAnsi="Times New Roman" w:cs="Times New Roman"/>
              </w:rPr>
              <w:t>.O.0</w:t>
            </w:r>
            <w:r w:rsidR="008B5A7C">
              <w:rPr>
                <w:rFonts w:ascii="Times New Roman" w:hAnsi="Times New Roman" w:cs="Times New Roman"/>
                <w:lang w:val="fr-FR"/>
              </w:rPr>
              <w:t>19</w:t>
            </w:r>
          </w:p>
        </w:tc>
      </w:tr>
      <w:tr w:rsidR="00D427CD" w:rsidRPr="00B22E00" w:rsidTr="00D21E21">
        <w:trPr>
          <w:trHeight w:val="875"/>
          <w:jc w:val="center"/>
        </w:trPr>
        <w:tc>
          <w:tcPr>
            <w:tcW w:w="5289" w:type="dxa"/>
            <w:gridSpan w:val="5"/>
            <w:tcBorders>
              <w:top w:val="nil"/>
              <w:left w:val="single" w:sz="2" w:space="0" w:color="000000"/>
              <w:bottom w:val="single" w:sz="2" w:space="0" w:color="000000"/>
              <w:right w:val="single" w:sz="4" w:space="0" w:color="auto"/>
            </w:tcBorders>
            <w:hideMark/>
          </w:tcPr>
          <w:p w:rsidR="00D427CD" w:rsidRPr="00B22E00" w:rsidRDefault="00D427CD" w:rsidP="00AB7CF6">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Nivelul calificării ISCED: 6</w:t>
            </w:r>
          </w:p>
          <w:p w:rsidR="00DC6A2B" w:rsidRPr="00B22E00" w:rsidRDefault="00D427CD" w:rsidP="00E6658D">
            <w:pPr>
              <w:widowControl w:val="0"/>
              <w:suppressLineNumbers/>
              <w:suppressAutoHyphens/>
              <w:spacing w:after="0" w:line="240" w:lineRule="auto"/>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 xml:space="preserve">Domeniul de formare profesională: </w:t>
            </w:r>
          </w:p>
          <w:p w:rsidR="00D427CD" w:rsidRPr="00B22E00" w:rsidRDefault="00D427CD" w:rsidP="00E6658D">
            <w:pPr>
              <w:widowControl w:val="0"/>
              <w:suppressLineNumbers/>
              <w:suppressAutoHyphens/>
              <w:spacing w:after="0" w:line="240" w:lineRule="auto"/>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 xml:space="preserve">222 Limbi </w:t>
            </w:r>
            <w:r w:rsidR="00331EB0" w:rsidRPr="00B22E00">
              <w:rPr>
                <w:rFonts w:ascii="Times New Roman" w:eastAsia="SimSun" w:hAnsi="Times New Roman" w:cs="Times New Roman"/>
                <w:bCs/>
                <w:kern w:val="2"/>
                <w:lang w:eastAsia="zh-CN" w:bidi="hi-IN"/>
              </w:rPr>
              <w:t>ș</w:t>
            </w:r>
            <w:r w:rsidRPr="00B22E00">
              <w:rPr>
                <w:rFonts w:ascii="Times New Roman" w:eastAsia="SimSun" w:hAnsi="Times New Roman" w:cs="Times New Roman"/>
                <w:bCs/>
                <w:kern w:val="2"/>
                <w:lang w:eastAsia="zh-CN" w:bidi="hi-IN"/>
              </w:rPr>
              <w:t xml:space="preserve">i literaturi </w:t>
            </w:r>
          </w:p>
          <w:p w:rsidR="00D427CD" w:rsidRPr="00B22E00" w:rsidRDefault="00D427CD" w:rsidP="00EB42BE">
            <w:pPr>
              <w:widowControl w:val="0"/>
              <w:suppressLineNumbers/>
              <w:suppressAutoHyphens/>
              <w:spacing w:after="0" w:line="240" w:lineRule="auto"/>
              <w:jc w:val="both"/>
              <w:rPr>
                <w:rFonts w:ascii="Times New Roman" w:eastAsia="SimSun" w:hAnsi="Times New Roman" w:cs="Times New Roman"/>
                <w:b/>
                <w:kern w:val="2"/>
                <w:lang w:eastAsia="zh-CN" w:bidi="hi-IN"/>
              </w:rPr>
            </w:pPr>
            <w:r w:rsidRPr="00B22E00">
              <w:rPr>
                <w:rFonts w:ascii="Times New Roman" w:eastAsia="SimSun" w:hAnsi="Times New Roman" w:cs="Times New Roman"/>
                <w:b/>
                <w:kern w:val="2"/>
                <w:lang w:eastAsia="zh-CN" w:bidi="hi-IN"/>
              </w:rPr>
              <w:t xml:space="preserve">Specialitatea: </w:t>
            </w:r>
            <w:r w:rsidRPr="00B22E00">
              <w:rPr>
                <w:rFonts w:ascii="Times New Roman" w:eastAsia="SimSun" w:hAnsi="Times New Roman" w:cs="Times New Roman"/>
                <w:kern w:val="2"/>
                <w:lang w:eastAsia="zh-CN" w:bidi="hi-IN"/>
              </w:rPr>
              <w:t>222.1</w:t>
            </w:r>
            <w:r w:rsidR="00BA2711">
              <w:rPr>
                <w:rFonts w:ascii="Times New Roman" w:eastAsia="SimSun" w:hAnsi="Times New Roman" w:cs="Times New Roman"/>
                <w:kern w:val="2"/>
                <w:lang w:eastAsia="zh-CN" w:bidi="hi-IN"/>
              </w:rPr>
              <w:t xml:space="preserve"> </w:t>
            </w:r>
            <w:r w:rsidR="00DB38CB" w:rsidRPr="00B22E00">
              <w:rPr>
                <w:rFonts w:ascii="Times New Roman" w:eastAsia="SimSun" w:hAnsi="Times New Roman" w:cs="Times New Roman"/>
                <w:kern w:val="2"/>
                <w:lang w:eastAsia="zh-CN" w:bidi="hi-IN"/>
              </w:rPr>
              <w:t xml:space="preserve">Limba </w:t>
            </w:r>
            <w:r w:rsidR="00331EB0" w:rsidRPr="00B22E00">
              <w:rPr>
                <w:rFonts w:ascii="Times New Roman" w:eastAsia="SimSun" w:hAnsi="Times New Roman" w:cs="Times New Roman"/>
                <w:kern w:val="2"/>
                <w:lang w:eastAsia="zh-CN" w:bidi="hi-IN"/>
              </w:rPr>
              <w:t>ș</w:t>
            </w:r>
            <w:r w:rsidR="00DB38CB" w:rsidRPr="00B22E00">
              <w:rPr>
                <w:rFonts w:ascii="Times New Roman" w:eastAsia="SimSun" w:hAnsi="Times New Roman" w:cs="Times New Roman"/>
                <w:kern w:val="2"/>
                <w:lang w:eastAsia="zh-CN" w:bidi="hi-IN"/>
              </w:rPr>
              <w:t xml:space="preserve">i literatura română </w:t>
            </w:r>
            <w:r w:rsidR="00331EB0" w:rsidRPr="00B22E00">
              <w:rPr>
                <w:rFonts w:ascii="Times New Roman" w:eastAsia="SimSun" w:hAnsi="Times New Roman" w:cs="Times New Roman"/>
                <w:kern w:val="2"/>
                <w:lang w:eastAsia="zh-CN" w:bidi="hi-IN"/>
              </w:rPr>
              <w:t>ș</w:t>
            </w:r>
            <w:r w:rsidR="00DB38CB" w:rsidRPr="00B22E00">
              <w:rPr>
                <w:rFonts w:ascii="Times New Roman" w:eastAsia="SimSun" w:hAnsi="Times New Roman" w:cs="Times New Roman"/>
                <w:kern w:val="2"/>
                <w:lang w:eastAsia="zh-CN" w:bidi="hi-IN"/>
              </w:rPr>
              <w:t>i limba engleză</w:t>
            </w:r>
          </w:p>
        </w:tc>
        <w:tc>
          <w:tcPr>
            <w:tcW w:w="4857" w:type="dxa"/>
            <w:gridSpan w:val="4"/>
            <w:tcBorders>
              <w:top w:val="nil"/>
              <w:left w:val="single" w:sz="4" w:space="0" w:color="auto"/>
              <w:bottom w:val="single" w:sz="2" w:space="0" w:color="000000"/>
              <w:right w:val="single" w:sz="2" w:space="0" w:color="000000"/>
            </w:tcBorders>
          </w:tcPr>
          <w:p w:rsidR="00D427CD" w:rsidRPr="00B22E00" w:rsidRDefault="00D427CD" w:rsidP="00AB7CF6">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 xml:space="preserve">Catedra responsabilă de curs: </w:t>
            </w:r>
            <w:r w:rsidRPr="00B22E00">
              <w:rPr>
                <w:rFonts w:ascii="Times New Roman" w:eastAsia="SimSun" w:hAnsi="Times New Roman" w:cs="Times New Roman"/>
                <w:bCs/>
                <w:kern w:val="2"/>
                <w:lang w:eastAsia="zh-CN" w:bidi="hi-IN"/>
              </w:rPr>
              <w:t xml:space="preserve">Limbi </w:t>
            </w:r>
            <w:r w:rsidR="00331EB0" w:rsidRPr="00B22E00">
              <w:rPr>
                <w:rFonts w:ascii="Times New Roman" w:eastAsia="SimSun" w:hAnsi="Times New Roman" w:cs="Times New Roman"/>
                <w:bCs/>
                <w:kern w:val="2"/>
                <w:lang w:eastAsia="zh-CN" w:bidi="hi-IN"/>
              </w:rPr>
              <w:t>ș</w:t>
            </w:r>
            <w:r w:rsidRPr="00B22E00">
              <w:rPr>
                <w:rFonts w:ascii="Times New Roman" w:eastAsia="SimSun" w:hAnsi="Times New Roman" w:cs="Times New Roman"/>
                <w:bCs/>
                <w:kern w:val="2"/>
                <w:lang w:eastAsia="zh-CN" w:bidi="hi-IN"/>
              </w:rPr>
              <w:t>i literaturi</w:t>
            </w:r>
          </w:p>
          <w:p w:rsidR="00D427CD" w:rsidRPr="00B22E00" w:rsidRDefault="00D427CD" w:rsidP="00AB7CF6">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 xml:space="preserve">Titular/Responsabil de curs: </w:t>
            </w:r>
            <w:r w:rsidRPr="00B22E00">
              <w:rPr>
                <w:rFonts w:ascii="Times New Roman" w:eastAsia="SimSun" w:hAnsi="Times New Roman" w:cs="Times New Roman"/>
                <w:bCs/>
                <w:kern w:val="2"/>
                <w:lang w:eastAsia="zh-CN" w:bidi="hi-IN"/>
              </w:rPr>
              <w:t xml:space="preserve">Ciobanu O., conf. univ. dr. </w:t>
            </w:r>
          </w:p>
        </w:tc>
      </w:tr>
      <w:tr w:rsidR="00D427CD" w:rsidRPr="00B22E00" w:rsidTr="00D21E21">
        <w:trPr>
          <w:trHeight w:val="255"/>
          <w:jc w:val="center"/>
        </w:trPr>
        <w:tc>
          <w:tcPr>
            <w:tcW w:w="3828" w:type="dxa"/>
            <w:gridSpan w:val="3"/>
            <w:tcBorders>
              <w:top w:val="single" w:sz="4" w:space="0" w:color="auto"/>
              <w:left w:val="single" w:sz="2" w:space="0" w:color="000000"/>
              <w:bottom w:val="single" w:sz="4" w:space="0" w:color="auto"/>
              <w:right w:val="single" w:sz="4" w:space="0" w:color="auto"/>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Total ore</w:t>
            </w:r>
          </w:p>
        </w:tc>
        <w:tc>
          <w:tcPr>
            <w:tcW w:w="3828" w:type="dxa"/>
            <w:gridSpan w:val="4"/>
            <w:tcBorders>
              <w:top w:val="single" w:sz="4" w:space="0" w:color="auto"/>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Număr de ore pe tipuri de activită</w:t>
            </w:r>
            <w:r w:rsidR="00331EB0" w:rsidRPr="00B22E00">
              <w:rPr>
                <w:rFonts w:ascii="Times New Roman" w:eastAsia="SimSun" w:hAnsi="Times New Roman" w:cs="Times New Roman"/>
                <w:bCs/>
                <w:kern w:val="2"/>
                <w:lang w:eastAsia="zh-CN" w:bidi="hi-IN"/>
              </w:rPr>
              <w:t>ț</w:t>
            </w:r>
            <w:r w:rsidRPr="00B22E00">
              <w:rPr>
                <w:rFonts w:ascii="Times New Roman" w:eastAsia="SimSun" w:hAnsi="Times New Roman" w:cs="Times New Roman"/>
                <w:bCs/>
                <w:kern w:val="2"/>
                <w:lang w:eastAsia="zh-CN" w:bidi="hi-IN"/>
              </w:rPr>
              <w:t>i</w:t>
            </w:r>
          </w:p>
        </w:tc>
        <w:tc>
          <w:tcPr>
            <w:tcW w:w="1275" w:type="dxa"/>
            <w:vMerge w:val="restart"/>
            <w:tcBorders>
              <w:top w:val="single" w:sz="4" w:space="0" w:color="auto"/>
              <w:left w:val="single" w:sz="4" w:space="0" w:color="auto"/>
              <w:right w:val="single" w:sz="2" w:space="0" w:color="000000"/>
            </w:tcBorders>
            <w:vAlign w:val="center"/>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Forma de evaluare</w:t>
            </w:r>
          </w:p>
        </w:tc>
        <w:tc>
          <w:tcPr>
            <w:tcW w:w="1215" w:type="dxa"/>
            <w:vMerge w:val="restart"/>
            <w:tcBorders>
              <w:top w:val="single" w:sz="4" w:space="0" w:color="auto"/>
              <w:left w:val="single" w:sz="4" w:space="0" w:color="auto"/>
              <w:right w:val="single" w:sz="2" w:space="0" w:color="000000"/>
            </w:tcBorders>
            <w:vAlign w:val="center"/>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Număr de credite</w:t>
            </w:r>
          </w:p>
        </w:tc>
      </w:tr>
      <w:tr w:rsidR="00D427CD" w:rsidRPr="00B22E00" w:rsidTr="00E6658D">
        <w:trPr>
          <w:trHeight w:val="161"/>
          <w:jc w:val="center"/>
        </w:trPr>
        <w:tc>
          <w:tcPr>
            <w:tcW w:w="1135" w:type="dxa"/>
            <w:tcBorders>
              <w:top w:val="single" w:sz="4" w:space="0" w:color="auto"/>
              <w:left w:val="single" w:sz="2" w:space="0" w:color="000000"/>
              <w:bottom w:val="single" w:sz="4" w:space="0" w:color="auto"/>
              <w:right w:val="single" w:sz="4" w:space="0" w:color="auto"/>
            </w:tcBorders>
            <w:vAlign w:val="center"/>
          </w:tcPr>
          <w:p w:rsidR="00D427CD" w:rsidRPr="00B22E00" w:rsidRDefault="00E6658D" w:rsidP="00E6658D">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total</w:t>
            </w:r>
          </w:p>
        </w:tc>
        <w:tc>
          <w:tcPr>
            <w:tcW w:w="1250" w:type="dxa"/>
            <w:tcBorders>
              <w:top w:val="single" w:sz="4" w:space="0" w:color="auto"/>
              <w:left w:val="single" w:sz="2" w:space="0" w:color="000000"/>
              <w:bottom w:val="single" w:sz="4" w:space="0" w:color="auto"/>
              <w:right w:val="single" w:sz="4" w:space="0" w:color="auto"/>
            </w:tcBorders>
            <w:vAlign w:val="center"/>
          </w:tcPr>
          <w:p w:rsidR="00D427CD" w:rsidRPr="00B22E00" w:rsidRDefault="00E6658D" w:rsidP="00E6658D">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contact direct</w:t>
            </w:r>
          </w:p>
        </w:tc>
        <w:tc>
          <w:tcPr>
            <w:tcW w:w="1443" w:type="dxa"/>
            <w:tcBorders>
              <w:top w:val="single" w:sz="4" w:space="0" w:color="auto"/>
              <w:left w:val="single" w:sz="2" w:space="0" w:color="000000"/>
              <w:bottom w:val="single" w:sz="4" w:space="0" w:color="auto"/>
              <w:right w:val="single" w:sz="4" w:space="0" w:color="auto"/>
            </w:tcBorders>
            <w:vAlign w:val="center"/>
          </w:tcPr>
          <w:p w:rsidR="00D427CD" w:rsidRPr="00B22E00" w:rsidRDefault="00E6658D" w:rsidP="00E6658D">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studiu individual</w:t>
            </w:r>
          </w:p>
        </w:tc>
        <w:tc>
          <w:tcPr>
            <w:tcW w:w="1125" w:type="dxa"/>
            <w:tcBorders>
              <w:top w:val="single" w:sz="4" w:space="0" w:color="auto"/>
              <w:left w:val="single" w:sz="4" w:space="0" w:color="auto"/>
              <w:bottom w:val="single" w:sz="4" w:space="0" w:color="auto"/>
              <w:right w:val="single" w:sz="2" w:space="0" w:color="000000"/>
            </w:tcBorders>
            <w:vAlign w:val="center"/>
          </w:tcPr>
          <w:p w:rsidR="00D427CD" w:rsidRPr="00B22E00" w:rsidRDefault="00E6658D" w:rsidP="00E6658D">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curs</w:t>
            </w:r>
          </w:p>
        </w:tc>
        <w:tc>
          <w:tcPr>
            <w:tcW w:w="1545" w:type="dxa"/>
            <w:gridSpan w:val="2"/>
            <w:tcBorders>
              <w:top w:val="single" w:sz="4" w:space="0" w:color="auto"/>
              <w:left w:val="single" w:sz="4" w:space="0" w:color="auto"/>
              <w:bottom w:val="single" w:sz="4" w:space="0" w:color="auto"/>
              <w:right w:val="single" w:sz="2" w:space="0" w:color="000000"/>
            </w:tcBorders>
            <w:vAlign w:val="center"/>
          </w:tcPr>
          <w:p w:rsidR="00D427CD" w:rsidRPr="00B22E00" w:rsidRDefault="00E6658D" w:rsidP="00E6658D">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seminar</w:t>
            </w:r>
          </w:p>
        </w:tc>
        <w:tc>
          <w:tcPr>
            <w:tcW w:w="1158" w:type="dxa"/>
            <w:tcBorders>
              <w:top w:val="single" w:sz="4" w:space="0" w:color="auto"/>
              <w:left w:val="single" w:sz="4" w:space="0" w:color="auto"/>
              <w:bottom w:val="single" w:sz="4" w:space="0" w:color="auto"/>
              <w:right w:val="single" w:sz="2" w:space="0" w:color="000000"/>
            </w:tcBorders>
            <w:vAlign w:val="center"/>
          </w:tcPr>
          <w:p w:rsidR="00D427CD" w:rsidRPr="00B22E00" w:rsidRDefault="00E6658D" w:rsidP="00E6658D">
            <w:pPr>
              <w:widowControl w:val="0"/>
              <w:suppressLineNumbers/>
              <w:suppressAutoHyphens/>
              <w:spacing w:after="0" w:line="240" w:lineRule="auto"/>
              <w:jc w:val="center"/>
              <w:rPr>
                <w:rFonts w:ascii="Times New Roman" w:eastAsia="SimSun" w:hAnsi="Times New Roman" w:cs="Times New Roman"/>
                <w:bCs/>
                <w:kern w:val="2"/>
                <w:lang w:eastAsia="zh-CN" w:bidi="hi-IN"/>
              </w:rPr>
            </w:pPr>
            <w:r w:rsidRPr="00B22E00">
              <w:rPr>
                <w:rFonts w:ascii="Times New Roman" w:eastAsia="SimSun" w:hAnsi="Times New Roman" w:cs="Times New Roman"/>
                <w:bCs/>
                <w:kern w:val="2"/>
                <w:lang w:eastAsia="zh-CN" w:bidi="hi-IN"/>
              </w:rPr>
              <w:t>laborator</w:t>
            </w:r>
          </w:p>
        </w:tc>
        <w:tc>
          <w:tcPr>
            <w:tcW w:w="1275" w:type="dxa"/>
            <w:vMerge/>
            <w:tcBorders>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Cs/>
                <w:kern w:val="2"/>
                <w:lang w:eastAsia="zh-CN" w:bidi="hi-IN"/>
              </w:rPr>
            </w:pPr>
          </w:p>
        </w:tc>
        <w:tc>
          <w:tcPr>
            <w:tcW w:w="1215" w:type="dxa"/>
            <w:vMerge/>
            <w:tcBorders>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Cs/>
                <w:kern w:val="2"/>
                <w:lang w:eastAsia="zh-CN" w:bidi="hi-IN"/>
              </w:rPr>
            </w:pPr>
          </w:p>
        </w:tc>
      </w:tr>
      <w:tr w:rsidR="00D427CD" w:rsidRPr="00B22E00" w:rsidTr="00D21E21">
        <w:trPr>
          <w:trHeight w:val="241"/>
          <w:jc w:val="center"/>
        </w:trPr>
        <w:tc>
          <w:tcPr>
            <w:tcW w:w="1135" w:type="dxa"/>
            <w:tcBorders>
              <w:top w:val="single" w:sz="4" w:space="0" w:color="auto"/>
              <w:left w:val="single" w:sz="2" w:space="0" w:color="000000"/>
              <w:bottom w:val="single" w:sz="4" w:space="0" w:color="auto"/>
              <w:right w:val="single" w:sz="4" w:space="0" w:color="auto"/>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120</w:t>
            </w:r>
          </w:p>
        </w:tc>
        <w:tc>
          <w:tcPr>
            <w:tcW w:w="1250" w:type="dxa"/>
            <w:tcBorders>
              <w:top w:val="single" w:sz="4" w:space="0" w:color="auto"/>
              <w:left w:val="single" w:sz="2" w:space="0" w:color="000000"/>
              <w:bottom w:val="single" w:sz="4" w:space="0" w:color="auto"/>
              <w:right w:val="single" w:sz="4" w:space="0" w:color="auto"/>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60</w:t>
            </w:r>
          </w:p>
        </w:tc>
        <w:tc>
          <w:tcPr>
            <w:tcW w:w="1443" w:type="dxa"/>
            <w:tcBorders>
              <w:top w:val="single" w:sz="4" w:space="0" w:color="auto"/>
              <w:left w:val="single" w:sz="2" w:space="0" w:color="000000"/>
              <w:bottom w:val="single" w:sz="4" w:space="0" w:color="auto"/>
              <w:right w:val="single" w:sz="4" w:space="0" w:color="auto"/>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60</w:t>
            </w:r>
          </w:p>
        </w:tc>
        <w:tc>
          <w:tcPr>
            <w:tcW w:w="1125" w:type="dxa"/>
            <w:tcBorders>
              <w:top w:val="single" w:sz="4" w:space="0" w:color="auto"/>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30</w:t>
            </w:r>
          </w:p>
        </w:tc>
        <w:tc>
          <w:tcPr>
            <w:tcW w:w="1545" w:type="dxa"/>
            <w:gridSpan w:val="2"/>
            <w:tcBorders>
              <w:top w:val="single" w:sz="4" w:space="0" w:color="auto"/>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30</w:t>
            </w:r>
          </w:p>
        </w:tc>
        <w:tc>
          <w:tcPr>
            <w:tcW w:w="1158" w:type="dxa"/>
            <w:tcBorders>
              <w:top w:val="single" w:sz="4" w:space="0" w:color="auto"/>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w:t>
            </w:r>
          </w:p>
        </w:tc>
        <w:tc>
          <w:tcPr>
            <w:tcW w:w="1275" w:type="dxa"/>
            <w:tcBorders>
              <w:top w:val="single" w:sz="4" w:space="0" w:color="auto"/>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E</w:t>
            </w:r>
          </w:p>
        </w:tc>
        <w:tc>
          <w:tcPr>
            <w:tcW w:w="1215" w:type="dxa"/>
            <w:tcBorders>
              <w:top w:val="single" w:sz="4" w:space="0" w:color="auto"/>
              <w:left w:val="single" w:sz="4" w:space="0" w:color="auto"/>
              <w:bottom w:val="single" w:sz="4" w:space="0" w:color="auto"/>
              <w:right w:val="single" w:sz="2" w:space="0" w:color="000000"/>
            </w:tcBorders>
          </w:tcPr>
          <w:p w:rsidR="00D427CD" w:rsidRPr="00B22E00" w:rsidRDefault="00D427CD" w:rsidP="00AB7CF6">
            <w:pPr>
              <w:widowControl w:val="0"/>
              <w:suppressLineNumbers/>
              <w:suppressAutoHyphens/>
              <w:spacing w:after="0" w:line="240" w:lineRule="auto"/>
              <w:jc w:val="center"/>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4</w:t>
            </w:r>
          </w:p>
        </w:tc>
      </w:tr>
      <w:tr w:rsidR="00D427CD" w:rsidRPr="00B22E00" w:rsidTr="00D21E21">
        <w:trPr>
          <w:jc w:val="center"/>
        </w:trPr>
        <w:tc>
          <w:tcPr>
            <w:tcW w:w="10146" w:type="dxa"/>
            <w:gridSpan w:val="9"/>
            <w:tcBorders>
              <w:top w:val="nil"/>
              <w:left w:val="single" w:sz="2" w:space="0" w:color="000000"/>
              <w:bottom w:val="single" w:sz="2" w:space="0" w:color="000000"/>
              <w:right w:val="single" w:sz="2" w:space="0" w:color="000000"/>
            </w:tcBorders>
            <w:hideMark/>
          </w:tcPr>
          <w:p w:rsidR="00D427CD" w:rsidRPr="00B22E00" w:rsidRDefault="00D427CD" w:rsidP="00AB7CF6">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Descriere succintă a corelării cursului cu programul de studii</w:t>
            </w:r>
          </w:p>
          <w:p w:rsidR="00806A7D" w:rsidRPr="00B22E00" w:rsidRDefault="00806A7D" w:rsidP="00AB7CF6">
            <w:pPr>
              <w:pStyle w:val="NoSpacing"/>
              <w:jc w:val="both"/>
              <w:rPr>
                <w:rFonts w:ascii="Times New Roman" w:hAnsi="Times New Roman" w:cs="Times New Roman"/>
              </w:rPr>
            </w:pPr>
            <w:r w:rsidRPr="00B22E00">
              <w:rPr>
                <w:rFonts w:eastAsia="Times New Roman"/>
              </w:rPr>
              <w:t>C</w:t>
            </w:r>
            <w:r w:rsidRPr="00B22E00">
              <w:rPr>
                <w:rFonts w:ascii="Times New Roman" w:hAnsi="Times New Roman" w:cs="Times New Roman"/>
              </w:rPr>
              <w:t>ursul de față este conceput drept o prezentare generală a problemelor fundamentale ale literaturii universale și comparate, în paralel cu o bogată informare privind tezaurul literaturii universale. Astfel, cursul își propune să prezinte în ordinea sa logică și în perspectivă istorico-literară fenomenul istoric-literar universal, implicând și apelând constant la criteriile și principiile  literaturii comparate și ale comparativismului literar. Cursul se construiește pe principiul valoric al literaturii universale, operele literare fiind reperate în contextul afirmării lor, precum și al investigațiilor de ultimă oră întreprinse în domeniu.</w:t>
            </w:r>
          </w:p>
          <w:p w:rsidR="00806A7D" w:rsidRPr="00B22E00" w:rsidRDefault="00806A7D" w:rsidP="00AB7CF6">
            <w:pPr>
              <w:pStyle w:val="NoSpacing"/>
              <w:jc w:val="both"/>
              <w:rPr>
                <w:rFonts w:ascii="Times New Roman" w:hAnsi="Times New Roman" w:cs="Times New Roman"/>
              </w:rPr>
            </w:pPr>
            <w:r w:rsidRPr="00B22E00">
              <w:rPr>
                <w:rFonts w:ascii="Times New Roman" w:hAnsi="Times New Roman" w:cs="Times New Roman"/>
              </w:rPr>
              <w:t>Cursul de literatură universală și comparată începe cu studierea literaturii antice, incluzând literatura medievală și din epoca Renașterii, până în Clasicism și având drept scop familiarizarea studentului filolog cu principalele probleme ale comparativismului literar și analiza celor mai valoroase opere ale literaturii universale pentru consolidarea cunoștințelor și competențelor sale literare.</w:t>
            </w:r>
          </w:p>
          <w:p w:rsidR="00D427CD" w:rsidRPr="00B22E00" w:rsidRDefault="00806A7D" w:rsidP="00AB7CF6">
            <w:pPr>
              <w:pStyle w:val="NoSpacing"/>
              <w:jc w:val="both"/>
              <w:rPr>
                <w:rFonts w:ascii="Times New Roman" w:hAnsi="Times New Roman" w:cs="Times New Roman"/>
              </w:rPr>
            </w:pPr>
            <w:r w:rsidRPr="00B22E00">
              <w:rPr>
                <w:rFonts w:ascii="Times New Roman" w:hAnsi="Times New Roman" w:cs="Times New Roman"/>
              </w:rPr>
              <w:t xml:space="preserve">Cursul universitar de literatură universală și comparată presupune lectura obligatorie a unui șir de opere reprezentative ale literaturii universale și a literaturii critice recomandate, prin aceasta urmărindu-se formarea capacității de a comenta o operă literară sau anumite aspecte ale acesteia, accentul punându-se pe specificitatea textelor artistice, pe familiarizarea studentului cu cele mai importante direcții, curente și tendințe, genuri și specii literare, elemente de metrică și de strofică, formarea competențelor de a integra un fenomen literar sau o operă concretă în contextul istoric și cultural  în care a fost creată prin conexiuni interdisciplinare (istorie, politică, filosofie, arte etc.), în fine, lărgirea și completarea cunoștințelor de teorie literară în baza studierii literaturii universale.  </w:t>
            </w:r>
          </w:p>
        </w:tc>
      </w:tr>
      <w:tr w:rsidR="00D427CD" w:rsidRPr="00B22E00" w:rsidTr="00835491">
        <w:trPr>
          <w:trHeight w:val="231"/>
          <w:jc w:val="center"/>
        </w:trPr>
        <w:tc>
          <w:tcPr>
            <w:tcW w:w="10146" w:type="dxa"/>
            <w:gridSpan w:val="9"/>
            <w:tcBorders>
              <w:top w:val="nil"/>
              <w:left w:val="single" w:sz="2" w:space="0" w:color="000000"/>
              <w:bottom w:val="single" w:sz="2" w:space="0" w:color="000000"/>
              <w:right w:val="single" w:sz="2" w:space="0" w:color="000000"/>
            </w:tcBorders>
            <w:hideMark/>
          </w:tcPr>
          <w:p w:rsidR="00D427CD" w:rsidRPr="00B22E00" w:rsidRDefault="00D427CD" w:rsidP="00AB7CF6">
            <w:pPr>
              <w:widowControl w:val="0"/>
              <w:tabs>
                <w:tab w:val="left" w:pos="-1253"/>
                <w:tab w:val="left" w:pos="-533"/>
              </w:tabs>
              <w:suppressAutoHyphens/>
              <w:snapToGrid w:val="0"/>
              <w:spacing w:after="0" w:line="240" w:lineRule="auto"/>
              <w:jc w:val="both"/>
              <w:rPr>
                <w:rFonts w:ascii="Times New Roman" w:eastAsia="Times New Roman" w:hAnsi="Times New Roman" w:cs="Times New Roman"/>
                <w:b/>
                <w:bCs/>
                <w:kern w:val="2"/>
              </w:rPr>
            </w:pPr>
            <w:r w:rsidRPr="00B22E00">
              <w:rPr>
                <w:rFonts w:ascii="Times New Roman" w:eastAsia="Times New Roman" w:hAnsi="Times New Roman" w:cs="Times New Roman"/>
                <w:b/>
                <w:bCs/>
              </w:rPr>
              <w:t>Competen</w:t>
            </w:r>
            <w:r w:rsidR="00331EB0" w:rsidRPr="00B22E00">
              <w:rPr>
                <w:rFonts w:ascii="Times New Roman" w:eastAsia="Times New Roman" w:hAnsi="Times New Roman" w:cs="Times New Roman"/>
                <w:b/>
                <w:bCs/>
              </w:rPr>
              <w:t>ț</w:t>
            </w:r>
            <w:r w:rsidRPr="00B22E00">
              <w:rPr>
                <w:rFonts w:ascii="Times New Roman" w:eastAsia="Times New Roman" w:hAnsi="Times New Roman" w:cs="Times New Roman"/>
                <w:b/>
                <w:bCs/>
              </w:rPr>
              <w:t>e dezvoltate în cadrul cursului</w:t>
            </w:r>
          </w:p>
          <w:p w:rsidR="0017205C" w:rsidRPr="00B22E00" w:rsidRDefault="0017205C" w:rsidP="00AB7CF6">
            <w:pPr>
              <w:pStyle w:val="NoSpacing"/>
              <w:rPr>
                <w:rFonts w:ascii="Times New Roman" w:hAnsi="Times New Roman" w:cs="Times New Roman"/>
                <w:b/>
                <w:i/>
                <w:lang w:val="en-US"/>
              </w:rPr>
            </w:pPr>
            <w:r w:rsidRPr="00B22E00">
              <w:rPr>
                <w:rFonts w:ascii="Times New Roman" w:hAnsi="Times New Roman" w:cs="Times New Roman"/>
                <w:b/>
                <w:i/>
              </w:rPr>
              <w:t xml:space="preserve">Competenţe generale: </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capacitatea de a comunica în scris și verbal, de a înțelege și a-i face pe alții să înțeleagă diferite mesaje în situații diverse;</w:t>
            </w:r>
            <w:r w:rsidRPr="00B22E00">
              <w:rPr>
                <w:rFonts w:ascii="MS Mincho" w:eastAsia="MS Mincho" w:hAnsi="MS Mincho" w:cs="MS Mincho"/>
              </w:rPr>
              <w:t> </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capacitatea de a urmări și a evalua argumentele și de a descoperi esența acestora;</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abilitatea de a utiliza și a manipula tehnologiile informaționale;</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capacitatea de a reflecta critic asupra obiectului și scopului învățării;</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capacitatea de a comunica constructiv în situații sociale diferite;</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 xml:space="preserve">capacitatea de a lucra  în cadrul unei echipe; </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demonstrarea abilităților de analiză în luarea deciziilor în plan profesional.</w:t>
            </w:r>
          </w:p>
          <w:p w:rsidR="0017205C" w:rsidRPr="00B22E00" w:rsidRDefault="0017205C" w:rsidP="00AB7CF6">
            <w:pPr>
              <w:pStyle w:val="ListParagraph"/>
              <w:widowControl w:val="0"/>
              <w:tabs>
                <w:tab w:val="left" w:pos="142"/>
              </w:tabs>
              <w:autoSpaceDE w:val="0"/>
              <w:autoSpaceDN w:val="0"/>
              <w:adjustRightInd w:val="0"/>
              <w:spacing w:after="0" w:line="240" w:lineRule="auto"/>
              <w:ind w:left="0"/>
              <w:jc w:val="both"/>
              <w:rPr>
                <w:rFonts w:ascii="Times New Roman" w:hAnsi="Times New Roman" w:cs="Times New Roman"/>
              </w:rPr>
            </w:pPr>
            <w:r w:rsidRPr="00B22E00">
              <w:rPr>
                <w:rFonts w:ascii="Times New Roman" w:hAnsi="Times New Roman" w:cs="Times New Roman"/>
                <w:b/>
                <w:bCs/>
                <w:iCs/>
              </w:rPr>
              <w:t>Competențe specifice:</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 xml:space="preserve">generalizarea cunoștințelor din domeniul științelor socioumane; </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analiza și sinteza diverselor teorii și opinii în domeniul literaturii universale și comparate;</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 xml:space="preserve">determinarea relațiilor interdisciplinare și evidențierea utilității lor; </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utilizarea   metodelor de cercetare în domeniul literaturii universale și comparate;</w:t>
            </w:r>
          </w:p>
          <w:p w:rsidR="0017205C" w:rsidRPr="00B22E00" w:rsidRDefault="00C62B6A" w:rsidP="00E6658D">
            <w:pPr>
              <w:pStyle w:val="ListParagraph"/>
              <w:numPr>
                <w:ilvl w:val="0"/>
                <w:numId w:val="11"/>
              </w:numPr>
              <w:tabs>
                <w:tab w:val="left" w:pos="338"/>
              </w:tabs>
              <w:spacing w:after="160" w:line="240" w:lineRule="auto"/>
              <w:ind w:left="338"/>
              <w:jc w:val="both"/>
              <w:rPr>
                <w:rFonts w:ascii="Times New Roman" w:hAnsi="Times New Roman" w:cs="Times New Roman"/>
              </w:rPr>
            </w:pPr>
            <w:r w:rsidRPr="00B22E00">
              <w:rPr>
                <w:rFonts w:ascii="Times New Roman" w:hAnsi="Times New Roman" w:cs="Times New Roman"/>
              </w:rPr>
              <w:t xml:space="preserve">comunicarea ideilor, problemelor și soluțiilor din domeniul științelor practicate atât într-un mediu specializat, cât și în unul nespecializat; </w:t>
            </w:r>
          </w:p>
          <w:p w:rsidR="00D427CD" w:rsidRPr="00B22E00" w:rsidRDefault="00C62B6A" w:rsidP="00E6658D">
            <w:pPr>
              <w:pStyle w:val="ListParagraph"/>
              <w:numPr>
                <w:ilvl w:val="0"/>
                <w:numId w:val="11"/>
              </w:numPr>
              <w:tabs>
                <w:tab w:val="left" w:pos="338"/>
              </w:tabs>
              <w:spacing w:after="160" w:line="240" w:lineRule="auto"/>
              <w:ind w:left="338"/>
              <w:jc w:val="both"/>
              <w:rPr>
                <w:lang w:val="en-US"/>
              </w:rPr>
            </w:pPr>
            <w:r w:rsidRPr="00B22E00">
              <w:rPr>
                <w:rFonts w:ascii="Times New Roman" w:hAnsi="Times New Roman" w:cs="Times New Roman"/>
              </w:rPr>
              <w:t>formularea și argumentarea punctelor de vedere proprii.</w:t>
            </w:r>
          </w:p>
        </w:tc>
      </w:tr>
      <w:tr w:rsidR="00D427CD" w:rsidRPr="00B22E00" w:rsidTr="00D21E21">
        <w:trPr>
          <w:jc w:val="center"/>
        </w:trPr>
        <w:tc>
          <w:tcPr>
            <w:tcW w:w="10146" w:type="dxa"/>
            <w:gridSpan w:val="9"/>
            <w:tcBorders>
              <w:top w:val="nil"/>
              <w:left w:val="single" w:sz="2" w:space="0" w:color="000000"/>
              <w:bottom w:val="single" w:sz="2" w:space="0" w:color="000000"/>
              <w:right w:val="single" w:sz="2" w:space="0" w:color="000000"/>
            </w:tcBorders>
            <w:hideMark/>
          </w:tcPr>
          <w:p w:rsidR="00BA63F8" w:rsidRPr="00B22E00" w:rsidRDefault="00BA63F8" w:rsidP="00E6658D">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lastRenderedPageBreak/>
              <w:t xml:space="preserve">Finalităţi de studii </w:t>
            </w:r>
          </w:p>
          <w:p w:rsidR="00BA63F8" w:rsidRPr="00B22E00" w:rsidRDefault="00C62B6A" w:rsidP="00E6658D">
            <w:pPr>
              <w:pStyle w:val="NoSpacing"/>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S</w:t>
            </w:r>
            <w:r w:rsidR="00BA63F8" w:rsidRPr="00B22E00">
              <w:rPr>
                <w:rFonts w:ascii="Times New Roman" w:eastAsia="SimSun" w:hAnsi="Times New Roman" w:cs="Times New Roman"/>
                <w:b/>
                <w:bCs/>
                <w:kern w:val="2"/>
                <w:lang w:eastAsia="zh-CN" w:bidi="hi-IN"/>
              </w:rPr>
              <w:t>tuden</w:t>
            </w:r>
            <w:r w:rsidR="00E6658D" w:rsidRPr="00B22E00">
              <w:rPr>
                <w:rFonts w:ascii="Times New Roman" w:eastAsia="SimSun" w:hAnsi="Times New Roman" w:cs="Times New Roman"/>
                <w:b/>
                <w:bCs/>
                <w:kern w:val="2"/>
                <w:lang w:eastAsia="zh-CN" w:bidi="hi-IN"/>
              </w:rPr>
              <w:t>tulla finele cursului va fi capabil</w:t>
            </w:r>
            <w:r w:rsidR="00BA63F8" w:rsidRPr="00B22E00">
              <w:rPr>
                <w:rFonts w:ascii="Times New Roman" w:eastAsia="SimSun" w:hAnsi="Times New Roman" w:cs="Times New Roman"/>
                <w:b/>
                <w:bCs/>
                <w:kern w:val="2"/>
                <w:lang w:eastAsia="zh-CN" w:bidi="hi-IN"/>
              </w:rPr>
              <w:t>:</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cunoască și să definească conceptele de literatură universală și comparată;</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 xml:space="preserve">să cunoască noțiunilor de bază din domeniul științei literare cu referire la literatura universală și comparată; </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definească mișcările de idei, curentele culturale și literare;</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determine caracterul specific al literaturii dintr-o anumită epocă;</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caracterizeze operele, să comenteze aplicând diverse grile de interpretare operele reprezentative ale literaturii universale;</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prezinte în context cultural-istoric o operă literară concretă din literatura studiată prin identificarea conexiunilor interdisciplinare (istorice, politice, filosofie, arte etc.);</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clasifice fenomenele literare studiate în funcție de diferite criterii (cronologic, tipologic, prozodic etc.);</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compare opere sau fenomene literare studiate în vederea stabilirii unor izvoare, influențe, confluențe, convergențe etc.;</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explice afinitățile unui autor/unei opere cu un curent literar;</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interpreteze relația dintre autori, opere, structuri tematice, idei;</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identifice și să explice interferențele: arte plastice –literatură, muzică– literatură, filosofie – literatură etc.;</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argumenteze raportarea unei opere literare la anumite direcții, mișcări</w:t>
            </w:r>
            <w:r w:rsidR="00D70B0C" w:rsidRPr="00B22E00">
              <w:rPr>
                <w:rFonts w:ascii="Times New Roman" w:hAnsi="Times New Roman" w:cs="Times New Roman"/>
              </w:rPr>
              <w:t>, genuri, specii literare;</w:t>
            </w:r>
          </w:p>
          <w:p w:rsidR="00D70B0C"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să valorifice cunoștințele literare acumulate în vederea unei integrări armonioase în viața profesională și socială contemporană;</w:t>
            </w:r>
          </w:p>
          <w:p w:rsidR="00D427CD" w:rsidRPr="00B22E00" w:rsidRDefault="00C62B6A" w:rsidP="00E6658D">
            <w:pPr>
              <w:pStyle w:val="ListParagraph"/>
              <w:numPr>
                <w:ilvl w:val="0"/>
                <w:numId w:val="11"/>
              </w:numPr>
              <w:tabs>
                <w:tab w:val="left" w:pos="338"/>
              </w:tabs>
              <w:spacing w:after="0" w:line="240" w:lineRule="auto"/>
              <w:ind w:left="338"/>
              <w:jc w:val="both"/>
              <w:rPr>
                <w:rFonts w:ascii="Times New Roman" w:hAnsi="Times New Roman" w:cs="Times New Roman"/>
              </w:rPr>
            </w:pPr>
            <w:r w:rsidRPr="00B22E00">
              <w:rPr>
                <w:rFonts w:ascii="Times New Roman" w:hAnsi="Times New Roman" w:cs="Times New Roman"/>
              </w:rPr>
              <w:t xml:space="preserve">să exprime </w:t>
            </w:r>
            <w:r w:rsidR="00D70B0C" w:rsidRPr="00B22E00">
              <w:rPr>
                <w:rFonts w:ascii="Times New Roman" w:hAnsi="Times New Roman" w:cs="Times New Roman"/>
              </w:rPr>
              <w:t>propria opinie sau atitudine față de diferite aspecte, mișcări literare, curente.</w:t>
            </w:r>
          </w:p>
        </w:tc>
      </w:tr>
      <w:tr w:rsidR="00D427CD" w:rsidRPr="00B22E00" w:rsidTr="00D21E21">
        <w:trPr>
          <w:jc w:val="center"/>
        </w:trPr>
        <w:tc>
          <w:tcPr>
            <w:tcW w:w="10146" w:type="dxa"/>
            <w:gridSpan w:val="9"/>
            <w:tcBorders>
              <w:top w:val="nil"/>
              <w:left w:val="single" w:sz="2" w:space="0" w:color="000000"/>
              <w:bottom w:val="single" w:sz="2" w:space="0" w:color="000000"/>
              <w:right w:val="single" w:sz="2" w:space="0" w:color="000000"/>
            </w:tcBorders>
            <w:hideMark/>
          </w:tcPr>
          <w:p w:rsidR="00D427CD" w:rsidRPr="00B22E00" w:rsidRDefault="00D427CD" w:rsidP="00E6658D">
            <w:pPr>
              <w:tabs>
                <w:tab w:val="left" w:pos="-1253"/>
                <w:tab w:val="left" w:pos="-533"/>
              </w:tabs>
              <w:snapToGrid w:val="0"/>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Condi</w:t>
            </w:r>
            <w:r w:rsidR="00331EB0" w:rsidRPr="00B22E00">
              <w:rPr>
                <w:rFonts w:ascii="Times New Roman" w:eastAsia="SimSun" w:hAnsi="Times New Roman" w:cs="Times New Roman"/>
                <w:b/>
                <w:bCs/>
                <w:kern w:val="2"/>
                <w:lang w:eastAsia="zh-CN" w:bidi="hi-IN"/>
              </w:rPr>
              <w:t>ț</w:t>
            </w:r>
            <w:r w:rsidRPr="00B22E00">
              <w:rPr>
                <w:rFonts w:ascii="Times New Roman" w:eastAsia="SimSun" w:hAnsi="Times New Roman" w:cs="Times New Roman"/>
                <w:b/>
                <w:bCs/>
                <w:kern w:val="2"/>
                <w:lang w:eastAsia="zh-CN" w:bidi="hi-IN"/>
              </w:rPr>
              <w:t>ii prerechizit</w:t>
            </w:r>
            <w:r w:rsidR="00E6658D" w:rsidRPr="00B22E00">
              <w:rPr>
                <w:rFonts w:ascii="Times New Roman" w:eastAsia="SimSun" w:hAnsi="Times New Roman" w:cs="Times New Roman"/>
                <w:b/>
                <w:bCs/>
                <w:kern w:val="2"/>
                <w:lang w:eastAsia="zh-CN" w:bidi="hi-IN"/>
              </w:rPr>
              <w:t xml:space="preserve">: </w:t>
            </w:r>
            <w:r w:rsidR="00E6658D" w:rsidRPr="00B22E00">
              <w:rPr>
                <w:rFonts w:ascii="Times New Roman" w:eastAsia="SimSun" w:hAnsi="Times New Roman" w:cs="Times New Roman"/>
                <w:bCs/>
                <w:kern w:val="2"/>
                <w:lang w:eastAsia="zh-CN" w:bidi="hi-IN"/>
              </w:rPr>
              <w:t>p</w:t>
            </w:r>
            <w:r w:rsidR="005A2576" w:rsidRPr="00B22E00">
              <w:rPr>
                <w:rFonts w:ascii="Times New Roman" w:hAnsi="Times New Roman" w:cs="Times New Roman"/>
                <w:color w:val="000000"/>
              </w:rPr>
              <w:t xml:space="preserve">entru a audia cursul, studenții trebuie să acumuleze credite la disciplinele </w:t>
            </w:r>
            <w:r w:rsidR="00A86D8D" w:rsidRPr="00B22E00">
              <w:rPr>
                <w:rFonts w:ascii="Times New Roman" w:hAnsi="Times New Roman" w:cs="Times New Roman"/>
                <w:i/>
                <w:color w:val="000000"/>
              </w:rPr>
              <w:t>Introducere în teoria literaturii, Literatura comparată, Antropologia culturii, Lingvistica generală, TCSO.</w:t>
            </w:r>
          </w:p>
        </w:tc>
      </w:tr>
      <w:tr w:rsidR="00D427CD" w:rsidRPr="00B22E00" w:rsidTr="00D21E21">
        <w:trPr>
          <w:jc w:val="center"/>
        </w:trPr>
        <w:tc>
          <w:tcPr>
            <w:tcW w:w="10146" w:type="dxa"/>
            <w:gridSpan w:val="9"/>
            <w:tcBorders>
              <w:top w:val="nil"/>
              <w:left w:val="single" w:sz="2" w:space="0" w:color="000000"/>
              <w:bottom w:val="single" w:sz="2" w:space="0" w:color="000000"/>
              <w:right w:val="single" w:sz="2" w:space="0" w:color="000000"/>
            </w:tcBorders>
            <w:hideMark/>
          </w:tcPr>
          <w:p w:rsidR="00F52387" w:rsidRPr="00B22E00" w:rsidRDefault="00D427CD" w:rsidP="00FC4A94">
            <w:pPr>
              <w:pStyle w:val="NoSpacing"/>
              <w:rPr>
                <w:rFonts w:ascii="Times New Roman" w:eastAsia="Calibri" w:hAnsi="Times New Roman" w:cs="Times New Roman"/>
                <w:b/>
              </w:rPr>
            </w:pPr>
            <w:r w:rsidRPr="00B22E00">
              <w:rPr>
                <w:rFonts w:ascii="Times New Roman" w:eastAsia="Calibri" w:hAnsi="Times New Roman" w:cs="Times New Roman"/>
                <w:b/>
              </w:rPr>
              <w:t>Teme de bază:</w:t>
            </w:r>
            <w:r w:rsidR="00B44E5A" w:rsidRPr="00B22E00">
              <w:rPr>
                <w:rFonts w:ascii="Times New Roman" w:eastAsia="Calibri" w:hAnsi="Times New Roman" w:cs="Times New Roman"/>
              </w:rPr>
              <w:t>1Conceptul de literatură universală și comparată. Definiții. Definiții eronate. 2. Mitul și mitologia. Miturile antice. 3. Literatura egipteană, ebraică, indiană veche. 4. Civilizația și cultura Greciei antice. 5. Literatura Greciei antice. Genuri, reprezentanți. 6. Civilizația și cultura latină antică. 7. Literatura Romei antice. Literatura latină preclasică, clasică și postclasică. 8. Literatura Evului Mediu. Eposul eroic. 9. Literatura medievală cavalerească și orășenească. 10. Renașterea. 11. Literatura Renașterii (poezia, proza, dramaturgia). 12. Barocul. 13. Literatura barocului. 14. Clasicismul. 15. Literatura clasicismului</w:t>
            </w:r>
          </w:p>
        </w:tc>
      </w:tr>
      <w:tr w:rsidR="00D427CD" w:rsidRPr="00B22E00" w:rsidTr="00D21E21">
        <w:trPr>
          <w:jc w:val="center"/>
        </w:trPr>
        <w:tc>
          <w:tcPr>
            <w:tcW w:w="10146" w:type="dxa"/>
            <w:gridSpan w:val="9"/>
            <w:tcBorders>
              <w:top w:val="nil"/>
              <w:left w:val="single" w:sz="2" w:space="0" w:color="000000"/>
              <w:bottom w:val="single" w:sz="2" w:space="0" w:color="000000"/>
              <w:right w:val="single" w:sz="2" w:space="0" w:color="000000"/>
            </w:tcBorders>
            <w:hideMark/>
          </w:tcPr>
          <w:p w:rsidR="00D427CD" w:rsidRPr="00B22E00" w:rsidRDefault="00D427CD" w:rsidP="00C62B6A">
            <w:pPr>
              <w:widowControl w:val="0"/>
              <w:suppressLineNumbers/>
              <w:suppressAutoHyphens/>
              <w:spacing w:after="0" w:line="240" w:lineRule="auto"/>
              <w:jc w:val="both"/>
              <w:rPr>
                <w:rFonts w:ascii="Times New Roman" w:hAnsi="Times New Roman" w:cs="Times New Roman"/>
                <w:kern w:val="2"/>
              </w:rPr>
            </w:pPr>
            <w:r w:rsidRPr="00B22E00">
              <w:rPr>
                <w:rFonts w:ascii="Times New Roman" w:eastAsia="SimSun" w:hAnsi="Times New Roman" w:cs="Times New Roman"/>
                <w:b/>
                <w:bCs/>
                <w:kern w:val="2"/>
                <w:lang w:eastAsia="zh-CN" w:bidi="hi-IN"/>
              </w:rPr>
              <w:t>Strategii de predare-învă</w:t>
            </w:r>
            <w:r w:rsidR="00331EB0" w:rsidRPr="00B22E00">
              <w:rPr>
                <w:rFonts w:ascii="Times New Roman" w:eastAsia="SimSun" w:hAnsi="Times New Roman" w:cs="Times New Roman"/>
                <w:b/>
                <w:bCs/>
                <w:kern w:val="2"/>
                <w:lang w:eastAsia="zh-CN" w:bidi="hi-IN"/>
              </w:rPr>
              <w:t>ț</w:t>
            </w:r>
            <w:r w:rsidRPr="00B22E00">
              <w:rPr>
                <w:rFonts w:ascii="Times New Roman" w:eastAsia="SimSun" w:hAnsi="Times New Roman" w:cs="Times New Roman"/>
                <w:b/>
                <w:bCs/>
                <w:kern w:val="2"/>
                <w:lang w:eastAsia="zh-CN" w:bidi="hi-IN"/>
              </w:rPr>
              <w:t>are:</w:t>
            </w:r>
            <w:r w:rsidR="00F52387" w:rsidRPr="00B22E00">
              <w:rPr>
                <w:rFonts w:ascii="Times New Roman" w:hAnsi="Times New Roman" w:cs="Times New Roman"/>
              </w:rPr>
              <w:t>prelegeri interactive</w:t>
            </w:r>
            <w:r w:rsidRPr="00B22E00">
              <w:rPr>
                <w:rFonts w:ascii="Times New Roman" w:hAnsi="Times New Roman" w:cs="Times New Roman"/>
              </w:rPr>
              <w:t>, proiecte</w:t>
            </w:r>
            <w:r w:rsidR="00C62B6A" w:rsidRPr="00B22E00">
              <w:rPr>
                <w:rFonts w:ascii="Times New Roman" w:hAnsi="Times New Roman" w:cs="Times New Roman"/>
              </w:rPr>
              <w:t>,</w:t>
            </w:r>
            <w:r w:rsidRPr="00B22E00">
              <w:rPr>
                <w:rFonts w:ascii="Times New Roman" w:hAnsi="Times New Roman" w:cs="Times New Roman"/>
              </w:rPr>
              <w:t xml:space="preserve"> consulta</w:t>
            </w:r>
            <w:r w:rsidR="00F52387" w:rsidRPr="00B22E00">
              <w:rPr>
                <w:rFonts w:ascii="Times New Roman" w:hAnsi="Times New Roman" w:cs="Times New Roman"/>
              </w:rPr>
              <w:t>ț</w:t>
            </w:r>
            <w:r w:rsidRPr="00B22E00">
              <w:rPr>
                <w:rFonts w:ascii="Times New Roman" w:hAnsi="Times New Roman" w:cs="Times New Roman"/>
              </w:rPr>
              <w:t>ii</w:t>
            </w:r>
            <w:r w:rsidR="00971E28" w:rsidRPr="00B22E00">
              <w:rPr>
                <w:rFonts w:ascii="Times New Roman" w:hAnsi="Times New Roman" w:cs="Times New Roman"/>
              </w:rPr>
              <w:t xml:space="preserve">, platforma </w:t>
            </w:r>
            <w:r w:rsidR="00971E28" w:rsidRPr="00B22E00">
              <w:rPr>
                <w:rFonts w:ascii="Times New Roman" w:eastAsia="Times New Roman" w:hAnsi="Times New Roman" w:cs="Times New Roman"/>
                <w:lang w:val="en-US"/>
              </w:rPr>
              <w:t>e-learning</w:t>
            </w:r>
            <w:r w:rsidRPr="00B22E00">
              <w:rPr>
                <w:rFonts w:ascii="Times New Roman" w:hAnsi="Times New Roman" w:cs="Times New Roman"/>
              </w:rPr>
              <w:t>.</w:t>
            </w:r>
          </w:p>
        </w:tc>
      </w:tr>
      <w:tr w:rsidR="00D427CD" w:rsidRPr="00B22E00" w:rsidTr="00D21E21">
        <w:trPr>
          <w:jc w:val="center"/>
        </w:trPr>
        <w:tc>
          <w:tcPr>
            <w:tcW w:w="10146" w:type="dxa"/>
            <w:gridSpan w:val="9"/>
            <w:tcBorders>
              <w:top w:val="nil"/>
              <w:left w:val="single" w:sz="2" w:space="0" w:color="000000"/>
              <w:bottom w:val="single" w:sz="2" w:space="0" w:color="000000"/>
              <w:right w:val="single" w:sz="2" w:space="0" w:color="000000"/>
            </w:tcBorders>
            <w:hideMark/>
          </w:tcPr>
          <w:p w:rsidR="00D427CD" w:rsidRPr="00B22E00" w:rsidRDefault="00D427CD" w:rsidP="00AB7CF6">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Strategii de evaluare</w:t>
            </w:r>
          </w:p>
          <w:p w:rsidR="00D427CD" w:rsidRPr="00B22E00" w:rsidRDefault="00E97365" w:rsidP="00AB7CF6">
            <w:pPr>
              <w:tabs>
                <w:tab w:val="left" w:pos="-1253"/>
                <w:tab w:val="left" w:pos="-533"/>
              </w:tabs>
              <w:snapToGrid w:val="0"/>
              <w:spacing w:after="0" w:line="240" w:lineRule="auto"/>
              <w:jc w:val="both"/>
              <w:rPr>
                <w:rFonts w:ascii="Times New Roman" w:eastAsia="Times New Roman" w:hAnsi="Times New Roman" w:cs="Times New Roman"/>
              </w:rPr>
            </w:pPr>
            <w:r w:rsidRPr="00B22E00">
              <w:rPr>
                <w:rFonts w:ascii="Times New Roman" w:eastAsia="Times New Roman" w:hAnsi="Times New Roman" w:cs="Times New Roman"/>
              </w:rPr>
              <w:t>Evaluarea este realizată prin diverse metode: prezentări, rapoarte, participări la discuţii, portofolii etc. Nota finală se constituie din următoarele componente: rezultatul evaluării finale (40%),  cel puţin 2 evaluări curente  (40%), evaluarea calităţii lucrului individual  al studentului  (20%).</w:t>
            </w:r>
          </w:p>
        </w:tc>
      </w:tr>
      <w:tr w:rsidR="00D427CD" w:rsidRPr="00B22E00" w:rsidTr="00D21E21">
        <w:trPr>
          <w:jc w:val="center"/>
        </w:trPr>
        <w:tc>
          <w:tcPr>
            <w:tcW w:w="10146" w:type="dxa"/>
            <w:gridSpan w:val="9"/>
            <w:tcBorders>
              <w:top w:val="nil"/>
              <w:left w:val="single" w:sz="2" w:space="0" w:color="000000"/>
              <w:bottom w:val="single" w:sz="2" w:space="0" w:color="000000"/>
              <w:right w:val="single" w:sz="2" w:space="0" w:color="000000"/>
            </w:tcBorders>
          </w:tcPr>
          <w:p w:rsidR="00CB30F0" w:rsidRPr="00B22E00" w:rsidRDefault="00D427CD" w:rsidP="00AB7CF6">
            <w:pPr>
              <w:widowControl w:val="0"/>
              <w:suppressLineNumbers/>
              <w:suppressAutoHyphens/>
              <w:spacing w:after="0" w:line="240" w:lineRule="auto"/>
              <w:jc w:val="both"/>
              <w:rPr>
                <w:rFonts w:ascii="Times New Roman" w:eastAsia="SimSun" w:hAnsi="Times New Roman" w:cs="Times New Roman"/>
                <w:b/>
                <w:bCs/>
                <w:kern w:val="2"/>
                <w:lang w:eastAsia="zh-CN" w:bidi="hi-IN"/>
              </w:rPr>
            </w:pPr>
            <w:r w:rsidRPr="00B22E00">
              <w:rPr>
                <w:rFonts w:ascii="Times New Roman" w:eastAsia="SimSun" w:hAnsi="Times New Roman" w:cs="Times New Roman"/>
                <w:b/>
                <w:bCs/>
                <w:kern w:val="2"/>
                <w:lang w:eastAsia="zh-CN" w:bidi="hi-IN"/>
              </w:rPr>
              <w:t>Bibliografie</w:t>
            </w:r>
            <w:r w:rsidR="00BA63F8" w:rsidRPr="00B22E00">
              <w:rPr>
                <w:rFonts w:ascii="Times New Roman" w:eastAsia="SimSun" w:hAnsi="Times New Roman" w:cs="Times New Roman"/>
                <w:b/>
                <w:bCs/>
                <w:kern w:val="2"/>
                <w:lang w:eastAsia="zh-CN" w:bidi="hi-IN"/>
              </w:rPr>
              <w:t xml:space="preserve"> selectivă</w:t>
            </w:r>
            <w:r w:rsidRPr="00B22E00">
              <w:rPr>
                <w:rFonts w:ascii="Times New Roman" w:eastAsia="SimSun" w:hAnsi="Times New Roman" w:cs="Times New Roman"/>
                <w:b/>
                <w:bCs/>
                <w:kern w:val="2"/>
                <w:lang w:eastAsia="zh-CN" w:bidi="hi-IN"/>
              </w:rPr>
              <w:t>:</w:t>
            </w:r>
          </w:p>
          <w:p w:rsidR="00CB30F0" w:rsidRPr="00B22E00" w:rsidRDefault="00CB30F0" w:rsidP="00AB7CF6">
            <w:pPr>
              <w:pStyle w:val="NoSpacing"/>
              <w:numPr>
                <w:ilvl w:val="0"/>
                <w:numId w:val="7"/>
              </w:numPr>
              <w:rPr>
                <w:rFonts w:ascii="Times New Roman" w:hAnsi="Times New Roman" w:cs="Times New Roman"/>
              </w:rPr>
            </w:pPr>
            <w:r w:rsidRPr="00B22E00">
              <w:rPr>
                <w:rFonts w:ascii="Times New Roman" w:hAnsi="Times New Roman" w:cs="Times New Roman"/>
              </w:rPr>
              <w:t>Ciobanu Olesea. Suport de curs la literatura un</w:t>
            </w:r>
            <w:r w:rsidR="00B44E5A" w:rsidRPr="00B22E00">
              <w:rPr>
                <w:rFonts w:ascii="Times New Roman" w:hAnsi="Times New Roman" w:cs="Times New Roman"/>
              </w:rPr>
              <w:t>iversală și comparată. Partea I</w:t>
            </w:r>
            <w:r w:rsidRPr="00B22E00">
              <w:rPr>
                <w:rFonts w:ascii="Times New Roman" w:hAnsi="Times New Roman" w:cs="Times New Roman"/>
              </w:rPr>
              <w:t xml:space="preserve"> (</w:t>
            </w:r>
            <w:r w:rsidR="00B44E5A" w:rsidRPr="00B22E00">
              <w:rPr>
                <w:rFonts w:ascii="Times New Roman" w:hAnsi="Times New Roman" w:cs="Times New Roman"/>
              </w:rPr>
              <w:t>Antichitate-Clasicism</w:t>
            </w:r>
            <w:r w:rsidRPr="00B22E00">
              <w:rPr>
                <w:rFonts w:ascii="Times New Roman" w:hAnsi="Times New Roman" w:cs="Times New Roman"/>
              </w:rPr>
              <w:t>), Chișinău, 2015</w:t>
            </w:r>
          </w:p>
          <w:p w:rsidR="00B44E5A" w:rsidRPr="00B22E00" w:rsidRDefault="00B44E5A" w:rsidP="00AB7CF6">
            <w:pPr>
              <w:pStyle w:val="NoSpacing"/>
              <w:numPr>
                <w:ilvl w:val="0"/>
                <w:numId w:val="7"/>
              </w:numPr>
              <w:rPr>
                <w:rFonts w:ascii="Times New Roman" w:hAnsi="Times New Roman" w:cs="Times New Roman"/>
              </w:rPr>
            </w:pPr>
            <w:r w:rsidRPr="00B22E00">
              <w:rPr>
                <w:rFonts w:ascii="Times New Roman" w:hAnsi="Times New Roman" w:cs="Times New Roman"/>
              </w:rPr>
              <w:t xml:space="preserve">Olesea Ciobanu </w:t>
            </w:r>
            <w:r w:rsidRPr="00B22E00">
              <w:rPr>
                <w:rFonts w:ascii="Times New Roman" w:eastAsia="Calibri" w:hAnsi="Times New Roman" w:cs="Times New Roman"/>
              </w:rPr>
              <w:t xml:space="preserve">Antologie de literatură universală. Partea I (Antichitatea-Evul Mediu). </w:t>
            </w:r>
            <w:r w:rsidRPr="00B22E00">
              <w:rPr>
                <w:rFonts w:ascii="Times New Roman" w:eastAsia="Times New Roman" w:hAnsi="Times New Roman" w:cs="Times New Roman"/>
              </w:rPr>
              <w:t>Ch., Tipografia „Biotehdesign”, 2016</w:t>
            </w:r>
            <w:r w:rsidR="00BA63F8" w:rsidRPr="00B22E00">
              <w:rPr>
                <w:rFonts w:ascii="Times New Roman" w:eastAsia="Times New Roman" w:hAnsi="Times New Roman" w:cs="Times New Roman"/>
              </w:rPr>
              <w:t>.</w:t>
            </w:r>
          </w:p>
          <w:p w:rsidR="00B44E5A" w:rsidRPr="00B22E00" w:rsidRDefault="00B44E5A" w:rsidP="00AB7CF6">
            <w:pPr>
              <w:pStyle w:val="NoSpacing"/>
              <w:numPr>
                <w:ilvl w:val="0"/>
                <w:numId w:val="7"/>
              </w:numPr>
              <w:rPr>
                <w:rFonts w:ascii="Times New Roman" w:hAnsi="Times New Roman" w:cs="Times New Roman"/>
              </w:rPr>
            </w:pPr>
            <w:r w:rsidRPr="00B22E00">
              <w:rPr>
                <w:rFonts w:ascii="Times New Roman" w:hAnsi="Times New Roman" w:cs="Times New Roman"/>
              </w:rPr>
              <w:t xml:space="preserve">Olesea Ciobanu, </w:t>
            </w:r>
            <w:r w:rsidRPr="00B22E00">
              <w:rPr>
                <w:rFonts w:ascii="Times New Roman" w:eastAsia="Calibri" w:hAnsi="Times New Roman" w:cs="Times New Roman"/>
              </w:rPr>
              <w:t xml:space="preserve">Antologie de literatură universală. Partea II (Renașterea-Clasicismul). </w:t>
            </w:r>
            <w:r w:rsidRPr="00B22E00">
              <w:rPr>
                <w:rFonts w:ascii="Times New Roman" w:eastAsia="Times New Roman" w:hAnsi="Times New Roman" w:cs="Times New Roman"/>
              </w:rPr>
              <w:t>Ch., Tipografia „Biotehdesign”, 2016</w:t>
            </w:r>
            <w:r w:rsidR="00BA63F8" w:rsidRPr="00B22E00">
              <w:rPr>
                <w:rFonts w:ascii="Times New Roman" w:eastAsia="Times New Roman" w:hAnsi="Times New Roman" w:cs="Times New Roman"/>
              </w:rPr>
              <w:t>.</w:t>
            </w:r>
          </w:p>
          <w:p w:rsidR="00B44E5A" w:rsidRPr="00B22E00" w:rsidRDefault="00B44E5A" w:rsidP="00AB7CF6">
            <w:pPr>
              <w:pStyle w:val="NoSpacing"/>
              <w:numPr>
                <w:ilvl w:val="0"/>
                <w:numId w:val="7"/>
              </w:numPr>
              <w:rPr>
                <w:rFonts w:ascii="Times New Roman" w:hAnsi="Times New Roman" w:cs="Times New Roman"/>
              </w:rPr>
            </w:pPr>
            <w:r w:rsidRPr="00B22E00">
              <w:rPr>
                <w:rFonts w:ascii="Times New Roman" w:hAnsi="Times New Roman" w:cs="Times New Roman"/>
              </w:rPr>
              <w:t>N.I. Barbu, Ovidiu Drimba, Romul Munteanu, Edgar Papu Istoria literaturii universale. Vol. 1, București, 2001</w:t>
            </w:r>
          </w:p>
          <w:p w:rsidR="00B44E5A" w:rsidRPr="00B22E00" w:rsidRDefault="00B44E5A" w:rsidP="00AB7CF6">
            <w:pPr>
              <w:pStyle w:val="NoSpacing"/>
              <w:numPr>
                <w:ilvl w:val="0"/>
                <w:numId w:val="7"/>
              </w:numPr>
              <w:rPr>
                <w:rFonts w:ascii="Times New Roman" w:hAnsi="Times New Roman" w:cs="Times New Roman"/>
              </w:rPr>
            </w:pPr>
            <w:r w:rsidRPr="00B22E00">
              <w:rPr>
                <w:rFonts w:ascii="Times New Roman" w:hAnsi="Times New Roman" w:cs="Times New Roman"/>
              </w:rPr>
              <w:t>N.I. Barbu, Ovidiu Drimba, Romul Munteanu, Edgar Papu 2, București, 2001</w:t>
            </w:r>
          </w:p>
          <w:p w:rsidR="00B44E5A" w:rsidRPr="00B22E00" w:rsidRDefault="00B44E5A" w:rsidP="00AB7CF6">
            <w:pPr>
              <w:pStyle w:val="NoSpacing"/>
              <w:numPr>
                <w:ilvl w:val="0"/>
                <w:numId w:val="7"/>
              </w:numPr>
              <w:rPr>
                <w:rFonts w:ascii="Times New Roman" w:hAnsi="Times New Roman" w:cs="Times New Roman"/>
              </w:rPr>
            </w:pPr>
            <w:r w:rsidRPr="00B22E00">
              <w:rPr>
                <w:rFonts w:ascii="Times New Roman" w:hAnsi="Times New Roman" w:cs="Times New Roman"/>
              </w:rPr>
              <w:t>Maniu Leonida, Tragedia greacă : Înflorirea și declinul conștiinței tragice eline, Iași, 2005</w:t>
            </w:r>
          </w:p>
          <w:p w:rsidR="00B44E5A" w:rsidRPr="00B22E00" w:rsidRDefault="00B44E5A" w:rsidP="00AB7CF6">
            <w:pPr>
              <w:pStyle w:val="NoSpacing"/>
              <w:numPr>
                <w:ilvl w:val="0"/>
                <w:numId w:val="7"/>
              </w:numPr>
              <w:rPr>
                <w:rFonts w:ascii="Times New Roman" w:hAnsi="Times New Roman" w:cs="Times New Roman"/>
              </w:rPr>
            </w:pPr>
            <w:r w:rsidRPr="00B22E00">
              <w:rPr>
                <w:rFonts w:ascii="Times New Roman" w:hAnsi="Times New Roman" w:cs="Times New Roman"/>
              </w:rPr>
              <w:t>Matei Călinescu, Clasicismul european, București, 2006</w:t>
            </w:r>
          </w:p>
          <w:p w:rsidR="00CB30F0" w:rsidRPr="00B22E00" w:rsidRDefault="00CB30F0" w:rsidP="00AB7CF6">
            <w:pPr>
              <w:pStyle w:val="NoSpacing"/>
              <w:numPr>
                <w:ilvl w:val="0"/>
                <w:numId w:val="7"/>
              </w:numPr>
              <w:rPr>
                <w:rFonts w:ascii="Times New Roman" w:hAnsi="Times New Roman" w:cs="Times New Roman"/>
              </w:rPr>
            </w:pPr>
            <w:r w:rsidRPr="00B22E00">
              <w:rPr>
                <w:rFonts w:ascii="Times New Roman" w:hAnsi="Times New Roman" w:cs="Times New Roman"/>
              </w:rPr>
              <w:t>Bloom H. Canonul occidental. București, 2007.</w:t>
            </w:r>
          </w:p>
          <w:p w:rsidR="00D427CD" w:rsidRPr="00B22E00" w:rsidRDefault="00CB30F0" w:rsidP="00634F15">
            <w:pPr>
              <w:pStyle w:val="NoSpacing"/>
              <w:numPr>
                <w:ilvl w:val="0"/>
                <w:numId w:val="7"/>
              </w:numPr>
              <w:rPr>
                <w:rFonts w:ascii="Times New Roman" w:hAnsi="Times New Roman" w:cs="Times New Roman"/>
              </w:rPr>
            </w:pPr>
            <w:r w:rsidRPr="00B22E00">
              <w:rPr>
                <w:rFonts w:ascii="Times New Roman" w:hAnsi="Times New Roman" w:cs="Times New Roman"/>
              </w:rPr>
              <w:t>Pageaux D.H. Literatura generală și literatura comparată. Iași, 2000.</w:t>
            </w:r>
          </w:p>
        </w:tc>
      </w:tr>
    </w:tbl>
    <w:p w:rsidR="009808BC" w:rsidRPr="00B22E00" w:rsidRDefault="009808BC" w:rsidP="00B22E00">
      <w:pPr>
        <w:spacing w:line="240" w:lineRule="auto"/>
        <w:jc w:val="center"/>
        <w:rPr>
          <w:rFonts w:ascii="Times New Roman" w:hAnsi="Times New Roman" w:cs="Times New Roman"/>
        </w:rPr>
      </w:pPr>
    </w:p>
    <w:sectPr w:rsidR="009808BC" w:rsidRPr="00B22E00" w:rsidSect="00B22E00">
      <w:pgSz w:w="12240" w:h="15840"/>
      <w:pgMar w:top="851" w:right="720" w:bottom="993"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F83"/>
    <w:multiLevelType w:val="hybridMultilevel"/>
    <w:tmpl w:val="F824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60888"/>
    <w:multiLevelType w:val="hybridMultilevel"/>
    <w:tmpl w:val="05EECC96"/>
    <w:lvl w:ilvl="0" w:tplc="4F94685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B34160"/>
    <w:multiLevelType w:val="hybridMultilevel"/>
    <w:tmpl w:val="A158321C"/>
    <w:lvl w:ilvl="0" w:tplc="4F94685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699581D"/>
    <w:multiLevelType w:val="hybridMultilevel"/>
    <w:tmpl w:val="8F5892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9A661CE"/>
    <w:multiLevelType w:val="hybridMultilevel"/>
    <w:tmpl w:val="A97692E8"/>
    <w:lvl w:ilvl="0" w:tplc="0418000F">
      <w:start w:val="1"/>
      <w:numFmt w:val="decimal"/>
      <w:lvlText w:val="%1."/>
      <w:lvlJc w:val="left"/>
      <w:pPr>
        <w:ind w:left="502"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53837FA6"/>
    <w:multiLevelType w:val="hybridMultilevel"/>
    <w:tmpl w:val="BA665FB6"/>
    <w:lvl w:ilvl="0" w:tplc="4F94685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55A32748"/>
    <w:multiLevelType w:val="hybridMultilevel"/>
    <w:tmpl w:val="4C48C0A4"/>
    <w:name w:val="WW8Num22"/>
    <w:lvl w:ilvl="0" w:tplc="266E8EE6">
      <w:start w:val="1"/>
      <w:numFmt w:val="bullet"/>
      <w:lvlText w:val=""/>
      <w:lvlJc w:val="left"/>
      <w:pPr>
        <w:tabs>
          <w:tab w:val="num" w:pos="0"/>
        </w:tabs>
        <w:ind w:left="36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FE76676"/>
    <w:multiLevelType w:val="hybridMultilevel"/>
    <w:tmpl w:val="EDB8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1D40CD"/>
    <w:multiLevelType w:val="hybridMultilevel"/>
    <w:tmpl w:val="52DC1536"/>
    <w:lvl w:ilvl="0" w:tplc="4F94685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A143E7F"/>
    <w:multiLevelType w:val="hybridMultilevel"/>
    <w:tmpl w:val="80F478E6"/>
    <w:lvl w:ilvl="0" w:tplc="4F94685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6D228E4"/>
    <w:multiLevelType w:val="hybridMultilevel"/>
    <w:tmpl w:val="EC760428"/>
    <w:lvl w:ilvl="0" w:tplc="4F94685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7EE90168"/>
    <w:multiLevelType w:val="hybridMultilevel"/>
    <w:tmpl w:val="628E41A8"/>
    <w:lvl w:ilvl="0" w:tplc="4F94685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8"/>
  </w:num>
  <w:num w:numId="7">
    <w:abstractNumId w:val="3"/>
  </w:num>
  <w:num w:numId="8">
    <w:abstractNumId w:val="11"/>
  </w:num>
  <w:num w:numId="9">
    <w:abstractNumId w:val="9"/>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CD"/>
    <w:rsid w:val="000C7BB1"/>
    <w:rsid w:val="0017205C"/>
    <w:rsid w:val="00220D19"/>
    <w:rsid w:val="00331EB0"/>
    <w:rsid w:val="0049440F"/>
    <w:rsid w:val="005A2576"/>
    <w:rsid w:val="005E28E6"/>
    <w:rsid w:val="00634F15"/>
    <w:rsid w:val="00806A7D"/>
    <w:rsid w:val="00810DBB"/>
    <w:rsid w:val="00835491"/>
    <w:rsid w:val="00864FD2"/>
    <w:rsid w:val="008B5A7C"/>
    <w:rsid w:val="00916AE0"/>
    <w:rsid w:val="00971E28"/>
    <w:rsid w:val="009808BC"/>
    <w:rsid w:val="009A11EC"/>
    <w:rsid w:val="00A01DFA"/>
    <w:rsid w:val="00A17A10"/>
    <w:rsid w:val="00A86D8D"/>
    <w:rsid w:val="00AB7CF6"/>
    <w:rsid w:val="00B22E00"/>
    <w:rsid w:val="00B44E5A"/>
    <w:rsid w:val="00B85BA9"/>
    <w:rsid w:val="00BA2711"/>
    <w:rsid w:val="00BA63F8"/>
    <w:rsid w:val="00BF0B65"/>
    <w:rsid w:val="00C62B6A"/>
    <w:rsid w:val="00CB30F0"/>
    <w:rsid w:val="00CC2CD2"/>
    <w:rsid w:val="00CC5800"/>
    <w:rsid w:val="00CC5EB7"/>
    <w:rsid w:val="00CC7817"/>
    <w:rsid w:val="00D24747"/>
    <w:rsid w:val="00D427CD"/>
    <w:rsid w:val="00D70B0C"/>
    <w:rsid w:val="00DB38CB"/>
    <w:rsid w:val="00DB5DB6"/>
    <w:rsid w:val="00DC6A2B"/>
    <w:rsid w:val="00E5347C"/>
    <w:rsid w:val="00E6658D"/>
    <w:rsid w:val="00E97365"/>
    <w:rsid w:val="00EB42BE"/>
    <w:rsid w:val="00F2691D"/>
    <w:rsid w:val="00F52387"/>
    <w:rsid w:val="00FC4A94"/>
    <w:rsid w:val="00FE0660"/>
    <w:rsid w:val="00FE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CD"/>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CB"/>
    <w:pPr>
      <w:spacing w:after="0" w:line="240" w:lineRule="auto"/>
    </w:pPr>
    <w:rPr>
      <w:lang w:val="ro-RO"/>
    </w:rPr>
  </w:style>
  <w:style w:type="character" w:styleId="Hyperlink">
    <w:name w:val="Hyperlink"/>
    <w:uiPriority w:val="99"/>
    <w:unhideWhenUsed/>
    <w:rsid w:val="00CB30F0"/>
    <w:rPr>
      <w:color w:val="0000FF"/>
      <w:u w:val="single"/>
    </w:rPr>
  </w:style>
  <w:style w:type="paragraph" w:styleId="ListParagraph">
    <w:name w:val="List Paragraph"/>
    <w:basedOn w:val="Normal"/>
    <w:uiPriority w:val="34"/>
    <w:qFormat/>
    <w:rsid w:val="00BA6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CD"/>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CB"/>
    <w:pPr>
      <w:spacing w:after="0" w:line="240" w:lineRule="auto"/>
    </w:pPr>
    <w:rPr>
      <w:lang w:val="ro-RO"/>
    </w:rPr>
  </w:style>
  <w:style w:type="character" w:styleId="Hyperlink">
    <w:name w:val="Hyperlink"/>
    <w:uiPriority w:val="99"/>
    <w:unhideWhenUsed/>
    <w:rsid w:val="00CB30F0"/>
    <w:rPr>
      <w:color w:val="0000FF"/>
      <w:u w:val="single"/>
    </w:rPr>
  </w:style>
  <w:style w:type="paragraph" w:styleId="ListParagraph">
    <w:name w:val="List Paragraph"/>
    <w:basedOn w:val="Normal"/>
    <w:uiPriority w:val="34"/>
    <w:qFormat/>
    <w:rsid w:val="00BA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6407</Characters>
  <Application>Microsoft Office Word</Application>
  <DocSecurity>0</DocSecurity>
  <Lines>123</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cp:revision>
  <cp:lastPrinted>2017-04-03T10:12:00Z</cp:lastPrinted>
  <dcterms:created xsi:type="dcterms:W3CDTF">2017-10-10T09:52:00Z</dcterms:created>
  <dcterms:modified xsi:type="dcterms:W3CDTF">2017-10-10T09:52:00Z</dcterms:modified>
</cp:coreProperties>
</file>